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cs="Times New Roman"/>
          <w:b w:val="0"/>
          <w:sz w:val="30"/>
        </w:rPr>
        <w:t>技术获取与监管博弈：罗博特科跨境收购FiconTEC案例分析</w:t>
      </w:r>
    </w:p>
    <w:p>
      <w:pPr>
        <w:spacing w:line="240" w:lineRule="auto"/>
        <w:ind w:firstLine="560"/>
        <w:jc w:val="both"/>
      </w:pPr>
      <w:r>
        <w:rPr>
          <w:rFonts w:ascii="Times New Roman" w:hAnsi="Times New Roman" w:eastAsia="仿宋" w:cs="Times New Roman"/>
          <w:b w:val="0"/>
          <w:sz w:val="28"/>
        </w:rPr>
        <w:t>2020年末，罗博特科智能科技股份有限公司（以下简称“罗博特科”）宣布计划通过发行股份及支付现金方式收购德国FiconTEC Service GmbH（以下简称“FiconTEC”）全部股权。该交易旨在获取FiconTEC在光子封装与测试设备领域的核心技术，尤其是硅光技术产业化加速背景下的关键装备能力。交易推进过程中历经监管问询、方案调整及审批等待期，反映了跨境技术并购中市场逻辑与监管审慎之间的张力。本报告从交易过程、交易逻辑、可复用经验等维度展开分析，为有跨境并购需求的企业决策者提供参考。</w:t>
      </w:r>
    </w:p>
    <w:p>
      <w:pPr>
        <w:spacing w:before="160" w:after="80"/>
        <w:ind w:firstLine="200"/>
      </w:pPr>
      <w:r>
        <w:rPr>
          <w:rFonts w:ascii="Times New Roman" w:hAnsi="Times New Roman" w:eastAsia="仿宋" w:cs="Times New Roman"/>
          <w:b/>
          <w:sz w:val="28"/>
        </w:rPr>
        <w:t>一、交易过程</w:t>
      </w:r>
    </w:p>
    <w:p>
      <w:pPr>
        <w:spacing w:line="240" w:lineRule="auto"/>
        <w:ind w:firstLine="560"/>
        <w:jc w:val="both"/>
      </w:pPr>
      <w:r>
        <w:rPr>
          <w:rFonts w:ascii="Times New Roman" w:hAnsi="Times New Roman" w:eastAsia="仿宋" w:cs="Times New Roman"/>
          <w:b w:val="0"/>
          <w:sz w:val="28"/>
        </w:rPr>
        <w:t>据公开资料显示，罗博特科于2020年12月首次披露收购FiconTEC的意向，拟以发行股份及支付现金的方式收购标的公司100%股权。FiconTEC成立于2009年，总部位于德国，专注于为光通信、数据中心及汽车激光雷达等领域提供光子封装与测试自动化解决方案，尤其在硅光子芯片测试环节拥有领先技术。</w:t>
      </w:r>
    </w:p>
    <w:p>
      <w:pPr>
        <w:spacing w:line="240" w:lineRule="auto"/>
        <w:ind w:firstLine="560"/>
        <w:jc w:val="both"/>
      </w:pPr>
      <w:r>
        <w:rPr>
          <w:rFonts w:ascii="Times New Roman" w:hAnsi="Times New Roman" w:eastAsia="仿宋" w:cs="Times New Roman"/>
          <w:b w:val="0"/>
          <w:sz w:val="28"/>
        </w:rPr>
        <w:t>从动因看，罗博特科原主营业务为工业自动化设备，但面临光伏等行业周期波动压力。公司希望通过此次收购切入半导体设备赛道，特别是光模块和硅光芯片的测试封装设备市场，以提升技术壁垒和盈利稳定性。标的公司在全球范围内客户包括多家头部光模块及芯片厂商。</w:t>
      </w:r>
    </w:p>
    <w:p>
      <w:pPr>
        <w:spacing w:line="240" w:lineRule="auto"/>
        <w:ind w:firstLine="560"/>
        <w:jc w:val="both"/>
      </w:pPr>
      <w:r>
        <w:rPr>
          <w:rFonts w:ascii="Times New Roman" w:hAnsi="Times New Roman" w:eastAsia="仿宋" w:cs="Times New Roman"/>
          <w:b w:val="0"/>
          <w:sz w:val="28"/>
        </w:rPr>
        <w:t>交易推进过程中，该方案需经中国证监会、德国联邦经济事务和能源部等境内外监管机构审批。据公告披露，2021年10月，交易获得德国联邦经济事务和能源部无异议决定；但此后中国证监会多次就交易估值、业绩承诺及整合风险进行问询。2022年，罗博特科对交易方案进行调整，包括将收购比例从100%调整为收购59.09%股权（后进一步调整），并修改相关配套融资安排。截至2025年初，交易尚未完成最终交割，仍处于证监会注册阶段。从时间线看，该交易从首次披露至今已逾四年，体现了跨境技术并购中监管审批的复杂性和不确定性。</w:t>
      </w:r>
    </w:p>
    <w:p>
      <w:pPr>
        <w:spacing w:before="160" w:after="80"/>
        <w:ind w:firstLine="200"/>
      </w:pPr>
      <w:r>
        <w:rPr>
          <w:rFonts w:ascii="Times New Roman" w:hAnsi="Times New Roman" w:eastAsia="仿宋" w:cs="Times New Roman"/>
          <w:b/>
          <w:sz w:val="28"/>
        </w:rPr>
        <w:t>二、交易逻辑</w:t>
      </w:r>
    </w:p>
    <w:p>
      <w:pPr>
        <w:spacing w:line="240" w:lineRule="auto"/>
        <w:ind w:firstLine="560"/>
        <w:jc w:val="both"/>
      </w:pPr>
      <w:r>
        <w:rPr>
          <w:rFonts w:ascii="Times New Roman" w:hAnsi="Times New Roman" w:eastAsia="仿宋" w:cs="Times New Roman"/>
          <w:b w:val="0"/>
          <w:sz w:val="28"/>
        </w:rPr>
        <w:t>从战略考量看，罗博特科此次收购属于典型的“技术补强型”跨境并购。公司原有业务与标的业务在自动化控制方面存在协同基础，但标的公司掌握的光子封装测试技术可帮助罗博特科进入更高附加值的半导体设备细分领域。硅光技术被视为下一代光互联核心，根据多家研究机构预测，2020年代后半期硅光模块市场将快速增长，提前布局测试封装设备具有战略意义。</w:t>
      </w:r>
    </w:p>
    <w:p>
      <w:pPr>
        <w:spacing w:line="240" w:lineRule="auto"/>
        <w:ind w:firstLine="560"/>
        <w:jc w:val="both"/>
      </w:pPr>
      <w:r>
        <w:rPr>
          <w:rFonts w:ascii="Times New Roman" w:hAnsi="Times New Roman" w:eastAsia="仿宋" w:cs="Times New Roman"/>
          <w:b w:val="0"/>
          <w:sz w:val="28"/>
        </w:rPr>
        <w:t>在标的筛选方面，FiconTEC属于小而美的技术型公司，全球员工约百人左右，但客户黏性强、技术壁垒高。公开资料显示，其设备已进入Intel、Cisco等知名企业供应链。选择此类标的可降低整合难度，但技术依赖核心团队的风险也值得关注。</w:t>
      </w:r>
    </w:p>
    <w:p>
      <w:pPr>
        <w:spacing w:line="240" w:lineRule="auto"/>
        <w:ind w:firstLine="560"/>
        <w:jc w:val="both"/>
      </w:pPr>
      <w:r>
        <w:rPr>
          <w:rFonts w:ascii="Times New Roman" w:hAnsi="Times New Roman" w:eastAsia="仿宋" w:cs="Times New Roman"/>
          <w:b w:val="0"/>
          <w:sz w:val="28"/>
        </w:rPr>
        <w:t>交易结构设计上，罗博特科采用“发行股份+支付现金”的混合支付方式，将部分交易对价与上市公司未来股价绑定，有利于减少现金压力并激励原股东继续参与经营。但该结构也导致摊薄效应，需要平衡原股东利益。业绩承诺方面，交易方案中设置了2021-2023年累计净利润要求，但后续因审批延迟，业绩承诺期是否调整需关注。</w:t>
      </w:r>
    </w:p>
    <w:p>
      <w:pPr>
        <w:spacing w:line="240" w:lineRule="auto"/>
        <w:ind w:firstLine="560"/>
        <w:jc w:val="both"/>
      </w:pPr>
      <w:r>
        <w:rPr>
          <w:rFonts w:ascii="Times New Roman" w:hAnsi="Times New Roman" w:eastAsia="仿宋" w:cs="Times New Roman"/>
          <w:b w:val="0"/>
          <w:sz w:val="28"/>
        </w:rPr>
        <w:t>在并购后整合与价值释放方面，罗博特科计划保留FiconTEC在德国的研发及生产基地，同时在中国设立子公司，将部分制造环节向国内转移以降低成本并贴近客户。但设备制造中的工艺know-how转移可能存在障碍，且中德员工文化差异与管理协同也是长期挑战。从交易安排看，标的创始团队承诺在交割后留任一定期限，这有助于稳定技术团队。</w:t>
      </w:r>
    </w:p>
    <w:p>
      <w:pPr>
        <w:spacing w:before="160" w:after="80"/>
        <w:ind w:firstLine="200"/>
      </w:pPr>
      <w:r>
        <w:rPr>
          <w:rFonts w:ascii="Times New Roman" w:hAnsi="Times New Roman" w:eastAsia="仿宋" w:cs="Times New Roman"/>
          <w:b/>
          <w:sz w:val="28"/>
        </w:rPr>
        <w:t>三、可复用经验</w:t>
      </w:r>
    </w:p>
    <w:p>
      <w:pPr>
        <w:spacing w:line="240" w:lineRule="auto"/>
        <w:ind w:firstLine="560"/>
        <w:jc w:val="both"/>
      </w:pPr>
      <w:r>
        <w:rPr>
          <w:rFonts w:ascii="Times New Roman" w:hAnsi="Times New Roman" w:eastAsia="仿宋" w:cs="Times New Roman"/>
          <w:b/>
          <w:sz w:val="28"/>
        </w:rPr>
        <w:t>第一，跨境技术并购需充分预估监管审批时间。</w:t>
      </w:r>
      <w:r>
        <w:rPr>
          <w:rFonts w:ascii="Times New Roman" w:hAnsi="Times New Roman" w:eastAsia="仿宋" w:cs="Times New Roman"/>
          <w:b w:val="0"/>
          <w:sz w:val="28"/>
        </w:rPr>
        <w:t>罗博特科FiconTEC案例显示，涉及半导体设备等敏感技术的跨境交易，需经历境外国家安全审查和境内证监会审核双重审批。企业应在时间表上预留充足缓冲，并制定备选方案。交易结构上，若分步收购或先参股后控股，可能降低一次性审批压力。</w:t>
      </w:r>
    </w:p>
    <w:p>
      <w:pPr>
        <w:spacing w:line="240" w:lineRule="auto"/>
        <w:ind w:firstLine="560"/>
        <w:jc w:val="both"/>
      </w:pPr>
      <w:r>
        <w:rPr>
          <w:rFonts w:ascii="Times New Roman" w:hAnsi="Times New Roman" w:eastAsia="仿宋" w:cs="Times New Roman"/>
          <w:b/>
          <w:sz w:val="28"/>
        </w:rPr>
        <w:t>第二，技术型标的整合应注重“人才锁定”与“技术独立”。</w:t>
      </w:r>
      <w:r>
        <w:rPr>
          <w:rFonts w:ascii="Times New Roman" w:hAnsi="Times New Roman" w:eastAsia="仿宋" w:cs="Times New Roman"/>
          <w:b w:val="0"/>
          <w:sz w:val="28"/>
        </w:rPr>
        <w:t>公开资料显示，FiconTEC原管理层在交易方案中承诺留任，但交割后实际整合效果仍取决于文化融合。并购方应设计合理的激励机制，同时避免过度干预导致人才流失。可考虑设立合资公司或业务单元保持一定独立性。</w:t>
      </w:r>
    </w:p>
    <w:p>
      <w:pPr>
        <w:spacing w:line="240" w:lineRule="auto"/>
        <w:ind w:firstLine="560"/>
        <w:jc w:val="both"/>
      </w:pPr>
      <w:r>
        <w:rPr>
          <w:rFonts w:ascii="Times New Roman" w:hAnsi="Times New Roman" w:eastAsia="仿宋" w:cs="Times New Roman"/>
          <w:b/>
          <w:sz w:val="28"/>
        </w:rPr>
        <w:t>第三，估值与业绩承诺需结合行业周期和审批风险。</w:t>
      </w:r>
      <w:r>
        <w:rPr>
          <w:rFonts w:ascii="Times New Roman" w:hAnsi="Times New Roman" w:eastAsia="仿宋" w:cs="Times New Roman"/>
          <w:b w:val="0"/>
          <w:sz w:val="28"/>
        </w:rPr>
        <w:t>该交易初始估值基于未来数年高速增长预期，但审批延迟导致业绩兑现窗口缩短。企业在设计业绩承诺时，建议加入“审批延迟”等不可控因素的调整条款，或采用基于里程碑的支付安排。</w:t>
      </w:r>
    </w:p>
    <w:p>
      <w:pPr>
        <w:spacing w:line="240" w:lineRule="auto"/>
        <w:ind w:firstLine="560"/>
        <w:jc w:val="both"/>
      </w:pPr>
      <w:r>
        <w:rPr>
          <w:rFonts w:ascii="Times New Roman" w:hAnsi="Times New Roman" w:eastAsia="仿宋" w:cs="Times New Roman"/>
          <w:b w:val="0"/>
          <w:sz w:val="28"/>
        </w:rPr>
        <w:t>第四，对于尚无跨境并购经验的企业，建议聘请熟悉双边法律及行业特点的财务顾问和法律顾问。罗博特科在交易中聘请了多家中介机构，但其审批进程仍较长。企业自身应组建内部专班，持续跟进监管动态，并建立与监管机构的主动沟通机制。</w:t>
      </w:r>
    </w:p>
    <w:p>
      <w:pPr>
        <w:spacing w:before="160" w:after="80"/>
        <w:ind w:firstLine="200"/>
      </w:pPr>
      <w:r>
        <w:rPr>
          <w:rFonts w:ascii="Times New Roman" w:hAnsi="Times New Roman" w:eastAsia="仿宋" w:cs="Times New Roman"/>
          <w:b/>
          <w:sz w:val="28"/>
        </w:rPr>
        <w:t>四、结论</w:t>
      </w:r>
    </w:p>
    <w:p>
      <w:pPr>
        <w:spacing w:line="240" w:lineRule="auto"/>
        <w:ind w:firstLine="560"/>
        <w:jc w:val="both"/>
      </w:pPr>
      <w:r>
        <w:rPr>
          <w:rFonts w:ascii="Times New Roman" w:hAnsi="Times New Roman" w:eastAsia="仿宋" w:cs="Times New Roman"/>
          <w:b w:val="0"/>
          <w:sz w:val="28"/>
        </w:rPr>
        <w:t>罗博特科收购FiconTEC案例为计划通过跨境并购获取核心技术的企业提供了重要参照。经验表明，技术类跨境并购的成败不仅取决于商业逻辑的严谨性，更受制于监管环境的变化与整合执行的细致度。对于企业决策者而言，在启动交易前应完成以下三项评估：一是目标技术是否被纳入所在地“关键技术清单”而面临更严格审查；二是交易时间表是否与公司融资节奏及主营业务支撑相匹配；三是自身是否具备跨文化整合的能力储备。该案例同时提醒，即便交易最终未能完成或大幅延迟，前期投入的中介费用、管理精力及机会成本依然可观，因而“交易失败预案”应与交易方案同步设计。在硅光技术产业化加速的背景下，罗博特科的尝试为后来者积累了宝贵的实操经验——无论是审批路径的选择，还是整合风险的控制，都需要从具体案例中提炼可复用的方法论。最终，跨境并购应服务于企业长期竞争力的构建，而非短期估值套利，这一原则在近年来的监管环境下愈发凸显。</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560"/>
      <w:jc w:val="both"/>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