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智造出海：美的集团收购库卡的协同路径与整合实践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2016年，美的集团（000333.SZ）通过境外子公司发起对德国工业机器人制造商库卡集团（KUKA AG）的公开要约收购，交易对价约292亿元人民币，于2017年完成交割。本次交易是典型制造业公司跨境收购自动化资产案例，重点分析战略协同逻辑与投后整合挑战。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：美的集团自2012年起推进“双智”战略（智慧家居+智能制造），亟需补齐机器人及自动化领域核心技术。库卡作为全球四大机器人企业之一，在汽车制造及工业自动化领域拥有领先技术、客户网络和品牌影响力。2015年，美的通过二级市场逐步买入库卡股份至约13.5%，为后续要约奠定基础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：2016年5月18日，美的正式宣布要约收购库卡全部股份，要约价格为每股115欧元，较前20日均价溢价约36%。德国联邦金融监管局（BaFin）审核后于6月放行。交易面临德国政界阻力，但库卡管理层和主要股东（如福伊特集团）接受要约。美的与库卡达成协议，保留库卡独立性、管理层及品牌，并承诺不关闭工厂、不裁员至2023年。2016年6月16日，美的宣布持有库卡72.18%股份，完成第一阶段要约。后续通过增持和注销库存股，持股比例升至约94.55%。2017年1月，交易获得全部监管批准，完成交割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后续整合：收购后，美的保持库卡法人实体独立，董事会由美的提名及独立董事组成，但日常运营仍由原德国管理团队负责。2018年起，库卡业绩承压，主要因全球经济放缓及中国汽车市场下滑，叠加整合初期成本上升。美的推动库卡在中国本土化运营，2020年设立库卡中国事业部，引入更多本土人才，并逐步提升供应链自主率。2022年，库卡实现扭亏，2023年收入约41亿欧元，净利润约1.3亿欧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并购战略考量：美的需从家电制造向科技集团转型，工业机器人是智能制造核心。库卡的技术可在美的自有工厂应用，提升自动化水平，同时库卡可借助美的渠道开拓中国市场，实现“技术+市场”互补。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标的筛选：库卡在机器人本体、系统集成及医疗自动化领域有竞争力，市值约45亿欧元，符合美的体量。库卡股东结构分散（第一大股东为福伊特集团约25%），为要约收购提供可行性。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交易结构设计：采用跨境公开要约收购，通过境外子公司（MECCA International）操作。报价以现金支付，资金来源为自有及外部融资。与库卡及德国工会签署《投资协议》，承诺至2023年不强制裁员、不搬迁总部、不关闭工厂，以降低政治及社会阻力。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整合与价值释放：整合难点在于文化差异和业务融合。初期保留库卡独立运营，后逐步深化管理协同：2018年成立库卡中国，2020年将库卡纳入美的统一管理体系。价值释放路径包括（1）内部协同：美的工厂应用库卡机器人，降低制造成本；（2）外部市场：库卡在中国汽车及一般工业领域争取本土客户；（3）技术反向赋能：美的吸收库卡机器人技术，开发自主品牌机器人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1. 分阶段增持降低整合风险：先通过二级市场小比例入股，建立信任并了解标的后再发起要约，避免冒进。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2. 签署保护性协议回应监管与工会关切：与标的公司、工会签署长期协议，承诺不裁员、保留品牌等，有效缓和德国政治阻力，也为后续整合提供缓冲期。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3. 保持标的运营独立性以稳定团队：收购后不强行替换管理层，保留原有运营架构，有利于核心人才留存及客户信心。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4. 适时推进本土化落地：基于标的技术和市场能力，结合买方所在市场特点，设立本地化业务单元（如库卡中国），加速渠道拓展及成本优化。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5. 设定整合节奏容忍业绩波动：收购后标的短期业绩下滑属于常见现象，需制定中长期整合计划并保持资本耐心。美的在库卡亏损期持续投入，最终实现扭亏。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的收购库卡是中国制造业企业跨境并购技术型资产的代表案例。交易启示包括：（1）跨境并购需充分评估东道国监管、工会及舆论环境，通过保护性协议管理软性风险；（2）技术型公司的整合需平衡独立性与协同度，初期“轻整合”有助于稳定团队，后期逐步深化管控；（3）买方应具备承受标的短期业绩波动的财务韧性，并利用跨周期资源赋能标的改善运营；（4）国际化并购的价值创造往往依赖于本土化落地能力，应提前规划人才、供应链和市场策略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决策者可借鉴的思路：在行业转型升级窗口期，通过并购获取战略性技术资产时，交易结构设计应兼顾商业利益与合规性，整合路径需灵活分层，并给管理团队与文化磨合留出足够时间。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