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海外中概股回归的经典样本：奇虎360私有化与A股上市路径解析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2015年，奇虎360宣布启动私有化，2016年7月完成退市，2018年2月通过借壳江南嘉捷登陆A股。这一案例是海外上市公司私有化并回归境内资本市场的代表性事件，其交易结构设计、融资安排及监管路径选择，对后续中概股回归具有参考价值。本报告从交易过程、交易逻辑、可复用经验三个维度展开分析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前期动因方面，奇虎360自2011年在纽交所上市后，业务以网络安全和互联网服务为主。公开资料显示，公司管理层认为美股市场对360的估值未能充分反映其业务价值，加之中美市场估值差异、监管成本及数据安全环境变化，推动公司考虑私有化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私有化推进阶段，2015年6月，奇虎360收到以周鸿祎为首的中资财团提出的非约束性私有化要约，报价每股美国存托股（ADS）77美元。随后，公司组建买方财团，成员包括中信国安、金砖丝路资本、红杉资本等。融资结构为：财团自有资金约45亿美元，招商银行等提供的银行贷款约34亿美元。交易采用“两步走”方式：先由母公司通过现金合并完成私有化，后拆除VIE架构。2016年7月，私有化完成，360从纽交所退市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回归A股阶段，2017年3月，奇虎360与华泰联合证券签署IPO辅导协议，但随后转向借壳。2017年11月，江南嘉捷发布重组公告，拟出售全部资产及负债，并通过发行股份购买资产方式收购360全体股东持有的100%股权，交易作价504.16亿元。交易包含配套融资，募集不超过20亿元。2018年1月，重组获得证监会核准，2月28日360正式在A股更名上市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战略考量上，360私有化回归的核心驱动力是估值提升。在美股期间，360的市盈率长期低于A股同类科技公司，回归后市值显著增长，增强了融资能力和品牌影响力。同时，回归A股有助于公司数据安全业务更贴近国内监管环境，减少潜在的跨境合规风险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标的筛选方面，360选择借壳而非IPO，主要考虑到IPO排队时间不确定，而借壳可更快完成上市。壳标的江南嘉捷为小市值上市公司，业务简单、股权结构清晰，便于交易操作。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结构设计上，私有化采用“现金合并+VIE拆除”模式，通过银团贷款和股权融资解决资金问题。借壳方案中，采用资产置换与发行股份购买资产相结合的方式，交易作价504亿元，对应2017年承诺净利润约29亿元，市盈率约17倍，合理反映了资产价值。配套融资用于后续业务发展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后整合与价值释放上，360回归后保持了管理团队稳定，延续网络安全主业并拓展政企安全、智能硬件等新业务。上市后市值一度超过4000亿元，远高于私有化前约80亿美元的市值（约合人民币560亿元），估值差显著体现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第一，私有化资金结构需平衡负债风险。</w:t>
      </w:r>
      <w:r>
        <w:rPr>
          <w:rFonts w:ascii="Times New Roman" w:hAnsi="Times New Roman" w:eastAsia="仿宋" w:cs="Times New Roman"/>
          <w:b w:val="0"/>
          <w:sz w:val="28"/>
        </w:rPr>
        <w:t>360私有化中银团贷款占比约43%，后续通过借壳上市配套融资偿还部分债务，降低了财务压力。企业决策者在设计私有化融资时，应评估自身现金流及未来再融资能力，避免高杠杆导致的流动性风险。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第二，回归路径选择需结合监管窗口。</w:t>
      </w:r>
      <w:r>
        <w:rPr>
          <w:rFonts w:ascii="Times New Roman" w:hAnsi="Times New Roman" w:eastAsia="仿宋" w:cs="Times New Roman"/>
          <w:b w:val="0"/>
          <w:sz w:val="28"/>
        </w:rPr>
        <w:t>360曾计划IPO，后因进度预期转用借壳，表明企业需动态评估两种路径的可行性。借壳虽快，但监管审核同样严格，尤其在重组上市认定、关联交易、业绩承诺等方面。决策者应预留方案调整空间，并与中介机构保持紧密沟通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第三，VIE架构拆除是私有化后的关键步骤。</w:t>
      </w:r>
      <w:r>
        <w:rPr>
          <w:rFonts w:ascii="Times New Roman" w:hAnsi="Times New Roman" w:eastAsia="仿宋" w:cs="Times New Roman"/>
          <w:b w:val="0"/>
          <w:sz w:val="28"/>
        </w:rPr>
        <w:t>360的VIE拆除过程涉及境内外实体重组、外汇登记、税务筹划等，耗时约一年。企业应提前规划拆除方案，确保法律合规，并关注外资准入限制变化。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第四，交易对价与业绩承诺需合理设定。360借壳交易中，业绩承诺覆盖三年，净利润目标分别为29亿、38亿、45亿元，最终均超额完成。决策者在设置承诺时应基于审慎预测，过高承诺可能导致未来补偿风险。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奇虎360的私有化回归案例为有类似需求的企业提供了完整路径参考。经验表明，海外上市公司私有化回归需要综合考虑市场时机、融资安排、监管趋势及自身业务特征。决策者应优先评估私有化成本与预期收益，合理选择回归路径（借壳或IPO），并在交易结构设计中平衡各方利益。同时，需注意反垄断审查、外汇管理政策等风险。该案例也提示，回归后的业务整合与持续发展是价值实现的根本，不应仅着眼于短期估值套利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