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 w:cs="Times New Roman"/>
          <w:b w:val="0"/>
          <w:sz w:val="30"/>
        </w:rPr>
        <w:t>De-SPAC的确定性与挑战：Grab上市案例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Grab作为东南亚领先的超级应用平台，于2021年12月通过与特殊目的收购公司（SPAC）Altimeter Growth Corp合并，在纳斯达克上市。本案例分析交易过程中的结构设计、监管挑战及后续股价表现，为计划通过SPAC上市的企业提供参考。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一、交易过程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Grab成立于2012年，最初提供网约车服务，后扩展至食品配送、支付、金融等领域。2021年4月，Grab宣布与SPAC公司Altimeter Growth Corp达成合并协议，企业估值约396亿美元。交易包括来自Altimeter Capital等投资者的40亿美元私募股权投资（PIPE）。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易推进过程中，Grab面临美国证券交易委员会（SEC）对SPAC会计处理及盈利预测的审查。此外，Grab在新加坡、印尼等国遭遇反垄断及劳工权益调查。2021年12月，交易完成，Grab于12月2日在纳斯达克上市，股票代码GRAB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上市后，Grab股价从开盘价约13美元持续下跌，截至2022年底跌幅超过70%。公司后续财报显示，虽营收增长，但亏损扩大，且面临来自Gojek与Tokopedia合并后的GoTo集团竞争。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二、交易逻辑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从并购战略考量，Grab选择SPAC而非传统IPO，主要基于时间确定性。SPAC合并过程通常较IPO更快，且可通过PIPE锁定资金，减少市场波动风险。Grab在2021年共享经济估值高位时锁定合并，也意在抢在竞争对手Gojek之前上市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标的筛选方面，Altimeter Growth Corp是专注于科技领域的空白支票公司，其管理团队具有投资背景，与Grab的科技属性匹配。交易结构采用传统De-SPAC模式，包括赎回条款、earn-out等机制，以平衡双方利益。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从交易安排看，Grab通过合并获得约45亿美元现金（包括PIPE），用于业务扩张及债务偿还。但公开资料显示，交易完成后的股价下跌反映了市场对高估值及盈利前景的担忧。此外，PIPE投资者大多以较大折扣参与，进一步摊薄了公众股东权益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三、可复用经验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对于考虑SPAC上市的企业，需评估监管风险。SEC对SPAC的会计处理（如认股权证分类）及前瞻性陈述的要求日趋严格，可能延迟交易或增加整改成本。Grab的案例表明，提前与监管机构沟通并完善披露文件是关键。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估值预期需与市场现实匹配。Grab在合并时估值接近400亿美元，但上市后市值大幅缩水。决策者应避免在行业热度高峰期设定过高估值，留出安全边际。同时，PIPE条款的设计应关注投资者长期支持而非短期套利。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交易后整合与业绩兑现至关重要。Grab上市后虽拓展了金融科技业务，但核心网约车和外卖业务面临竞争和监管压力。企业应确保上市后有明确的盈利路径，并管理好市场预期。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四、结论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Grab通过SPAC上市为东南亚科技公司提供了融资及资本化的快速通道，但后续股价表现揭示了De-SPAC模式的风险：高估值下的业绩压力、监管不确定性及市场竞争加剧。对有意通过SPAC上市的企业决策者，启示在于：优先保证交易确定性，但同时需构建可持续的商业模式；估值应基于审慎预测，避免过度乐观；上市后需加强运营执行，以兑现承诺。教训在于：SPAC并非万能捷径，其背后的资本结构复杂性及公众市场审视不容忽视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560"/>
      <w:jc w:val="both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