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体外孵化，风险隔离：上市公司与PE设立并购基金的实操分析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近年来，部分A股上市公司与私募股权机构合作，共同设立并购基金，用于收购或培育与主业相关的资产。该模式通过基金平台进行体外孵化，待标的成熟后注入上市公司，实现风险隔离和资本增值。本报告以典型交易为参照，从交易结构、资本运作逻辑及可复用经验等维度进行分析，为有并购需求的企业决策者提供参考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一、交易过程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动因看，上市公司往往面临拓展新业务或整合产业链的需求，但直接并购可能带来业绩波动、整合风险及资金压力。同时，PE机构具有募资和投资能力，希望借助上市公司平台实现退出。双方合作设立并购基金，上市公司通常作为有限合伙人（LP）出资20%至30%，PE作为普通合伙人（GP）出资少量并负责管理，其余资金向第三方募集，形成杠杆效应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在推进过程中，基金设立时需明确投资方向、决策机制、退出安排等。例如，基金可约定在存续期内优先将标的资产出售给上市公司，上市公司有权但非义务收购。基金运营期间，上市公司可能派驻业务团队参与标的的培育和管理，以熟悉业务并控制风险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在交割与后续整合阶段，基金收购标的资产后，通常不会立即纳入上市公司合并报表，而是保持独立运营。待标的达到约定条件（如盈利、合规、市场规模等），上市公司通过现金或发行股份购买资产的方式将标的注入。若标的未达预期，基金可寻求第三方出售或清算退出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二、交易逻辑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并购战略考量看，上市公司借助PE的资金和投后管理能力，以少量自有资金撬动大规模并购，降低了一次性大额现金支出带来的财务压力。同时，体外培育可避免标的在成长期的不确定性直接影响上市公司业绩，实现风险隔离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在标的筛选方面，基金通常围绕上市公司产业链上下游或具有协同效应的新业务领域，如医疗健康、高端制造、消费升级等。PE发挥项目来源和尽调专业优势，上市公司提供产业判断和后续承接能力。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结构设计上，核心是平衡各方利益。常见结构包括：基金层面设置优先与劣后级份额，上市公司通常作为劣后级LP以承担较高风险并获取超额收益；GP收取管理费和业绩报酬；上市公司享有优先收购权，且收购价格通常参考第三方评估或约定市盈率倍数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并购后整合与价值释放的关键在于资产注入环节。上市公司需在基金协议中明确注入条件、估值基准、时点等，以避免关联交易定价不公允或利益输送嫌疑。资产注入后，上市公司通过其平台进行业务整合，实现规模效应和估值提升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三、可复用经验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第一，风险隔离是核心优势，但需注意基金与上市公司的独立性。</w:t>
      </w:r>
      <w:r>
        <w:rPr>
          <w:rFonts w:ascii="Times New Roman" w:hAnsi="Times New Roman" w:eastAsia="仿宋" w:cs="Times New Roman"/>
          <w:b w:val="0"/>
          <w:sz w:val="28"/>
        </w:rPr>
        <w:t>若上市公司对基金的控制力过强，可能被认定为实质控制进而要求并表，消解隔离效果。建议在决策机制中设置上市公司一票否决权或特定事项同意权，但不过度参与日常管理。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第二，资金杠杆设计需要兼顾成本与期限。</w:t>
      </w:r>
      <w:r>
        <w:rPr>
          <w:rFonts w:ascii="Times New Roman" w:hAnsi="Times New Roman" w:eastAsia="仿宋" w:cs="Times New Roman"/>
          <w:b w:val="0"/>
          <w:sz w:val="28"/>
        </w:rPr>
        <w:t>优先级LP通常要求固定收益，上市公司可通过承诺回购或差额补足来增信，但需评估自身资金链承受能力，避免隐性债务风险。同时，基金期限应与标的培育周期匹配，防止到期强制退出。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第三，退出路径需清晰且可执行。</w:t>
      </w:r>
      <w:r>
        <w:rPr>
          <w:rFonts w:ascii="Times New Roman" w:hAnsi="Times New Roman" w:eastAsia="仿宋" w:cs="Times New Roman"/>
          <w:b w:val="0"/>
          <w:sz w:val="28"/>
        </w:rPr>
        <w:t>优先收购权应设置具体触发条件、估值方法和争议解决机制。若上市公司放弃收购，基金能否顺利退出影响整体方案成败。实践中可约定第三方出售、上市等方式作为备选。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第四，合规性是红线。关联交易需按监管要求履行审议程序和信息披露，避免利益输送。另外，基金若涉及“三类股东”（契约型基金、信托计划、资管计划），在资产注入时可能面临穿透核查，需提前清理或结构化安排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四、结论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上市公司与PE设立并购基金的模式，为有并购需求的企业提供了体外孵化与风险隔离的可行路径。其成功依赖于协议中明确的权利义务、清晰的退出安排以及对监管规则的遵守。对于决策者，建议在启动前充分评估自身资金实力、产业协同度及对标的的控制需求；在基金运营中保持沟通与信息透明度；在注入环节严守公允原则。该模式虽不能完全消除风险，但可有效降低并购不确定性，是资本市场成熟的并购工具之一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