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结构创新：A股首例GP先投后募收购案例剖析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2022年至2023年间，A股市场出现首起GP（普通合伙人）先以自有资金收购上市公司控股权，再设立并购基金向有限合伙人募资的案例。该交易打破了传统“上市公司+PE”模式中基金先行募资的惯常流程，引发市场对交易结构创新与风险控制的新思考。本报告从交易过程、交易逻辑、可复用经验三个维度展开分析，旨在为有并购需求的企业决策者提供结构设计参考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一、交易过程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公开资料显示，本次交易始于某PE机构对一家A股上市公司的战略收购意向。该上市公司所处行业具备整合空间，但短期资金压力较大，原控股股东有意让渡控制权。PE机构在未设立专项基金的情况下，先以自有资金（及相关方借款）直接受让了上市公司约29.9%的股份，触发要约收购义务，并最终完成控股权交割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取得控股权后，PE机构迅速主导设立了一支并购基金，基金总规模数亿元，其中PE机构作为GP出资少量份额，剩余部分向合格投资者募集。基金成立后，通过协议受让或大宗交易方式，从GP手中购回了部分上市公司股份，使GP实现阶段性投资回收，同时将控股权转移至基金层面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交易推进节奏看，从股权收购到基金设立完成股份承接，前后历时约6个月。期间，PE机构需协调上市公司信息披露、权益变动报告、要约收购豁免申请（如适用）等合规事项。据公告披露，整个交易均按照相关法律法规履行了审批和披露程序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并购战略考量，PE机构选择先投后募的核心动因在于把握交易窗口。上市公司控股权出售往往面临时效性要求，若按常规先募资再收购的路径，可能因募资周期过长而错失机会。以自有资金先行锁定标的，能够确保交易确定性，避免竞标风险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结构设计的创新之处在于资金链的闭环安排。PE机构以自有资金完成第一阶段收购后，通过设立并购基金并转让部分股份，实现资金回笼与风险分散。基金LP的出资实质上替代了GP原有的自有资金，使得GP在维持控制权的同时，降低了自身资金占用。这种结构类似于“过桥收购”或“杠杆收购”的变体，但引入了基金化运作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价值释放路径看，标的上市公司本身具备一定并购整合潜力。PE入主后，计划以上市公司为平台，持续收购同行业资产，并通过产业协同提升市值。并购基金的设立不仅为后续收购提供弹药，也使得LP能够分享上市公司成长收益，形成多方共赢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三、可复用经验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有并购需求的企业决策者，本案提供了以下可复用经验：第一，先投后募结构适用于时效性强、确定性高、但自有资金相对充裕的交易场景。决策者需评估自身资金实力，避免因后续募资失败导致流动性紧张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第二，结构设计需提前规划退出通道。</w:t>
      </w:r>
      <w:r>
        <w:rPr>
          <w:rFonts w:ascii="Times New Roman" w:hAnsi="Times New Roman" w:eastAsia="仿宋" w:cs="Times New Roman"/>
          <w:b w:val="0"/>
          <w:sz w:val="28"/>
        </w:rPr>
        <w:t>GP应在收购前即明确后续基金接盘的可能性，并与潜在LP进行预沟通。本案中，GP在收购完成后迅速完成基金募集，得益于前期与LP的充分对接。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第三，合规风险需重点把控。</w:t>
      </w:r>
      <w:r>
        <w:rPr>
          <w:rFonts w:ascii="Times New Roman" w:hAnsi="Times New Roman" w:eastAsia="仿宋" w:cs="Times New Roman"/>
          <w:b w:val="0"/>
          <w:sz w:val="28"/>
        </w:rPr>
        <w:t>先投后募涉及上市公司权益变动、要约收购、关联交易等复杂规则，必须聘请专业中介机构进行方案论证。尤其是股份转让价格、信息披露时点等细节，需严格遵循监管要求。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第四，该结构对GP的信用与募资能力要求较高。LP之所以愿意在GP已持有股份后参与基金，是基于对GP投资判断和管理能力的信任。因此，决策者需建立良好的市场声誉，或与知名机构合作增信。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四、结论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本案作为A股首起GP先投后募收购，为“上市公司+PE”模式提供了新的演化方向。其核心启示在于：交易结构可以因势而变，但始终要以风险可控为前提。决策者若考虑采用类似模式，应着重规划资金周转计划、募资后备方案与合规预案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同时需注意，该结构并非适用于所有场景。当标的资产价值波动大、募资环境不佳或监管政策收紧时，先投后募可能增加GP的财务风险。建议企业在复制此类结构前，充分模拟极端情况下的现金流压力，并预留足够的安全边际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总体而言，上市公司控股权并购中的结构创新应服务于商业目标，而非为创新而创新。本案的成功落地，为行业提供了有价值的实操参考，但每一笔交易仍需根据自身条件量身定制方案。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