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央企民爆资产整合：中国能建分拆易普力借壳南岭民爆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2023年，中国能源建设集团有限公司（以下简称“中国能建”）通过分拆其子公司葛洲坝易普力（以下简称“易普力”）并借壳湖南南岭民用爆破器材股份有限公司（以下简称“南岭民爆”），完成了民爆板块的独立上市。本次交易是央企体系内专业化整合与资本化的典型案例，涉及分拆上市、借壳重组等多重结构，本文将从交易过程、交易逻辑、可复用经验等维度展开分析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一、交易过程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前期动因方面，易普力作为中国能建旗下民爆业务核心平台，拥有爆破服务、民爆产品生产及销售等完整产业链，但长期依托于母公司体系，资本化程度有限。中国能建为落实国企改革三年行动方案，推动专业化整合，计划将民爆资产独立上市，以实现价值重估并拓宽融资渠道。南岭民爆作为湖南省国资委控股的民爆上市公司，经营面临瓶颈，市值较低，具备壳资源价值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推进方面，据公开资料显示，本次交易方案为：南岭民爆通过发行股份购买资产的方式，向中国能建、攀钢矿业等交易对方收购易普力100%股权，同时募集配套资金。交易完成后，南岭民爆的实际控制人变更为中国能建，易普力实现借壳上市。2022年12月，交易获得中国证监会核准批复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割与后续整合方面，2023年1月，资产过户完成，易普力成为南岭民爆全资子公司。随后，南岭民爆更名为“易普力股份有限公司”（股票代码：002096）。中国能建表示，将逐步推进民爆业务整合，将易普力作为旗下民用爆破服务及民爆产品生产的唯一上市平台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二、交易逻辑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并购战略考量看，中国能建选择分拆上市而非直接IPO，主要基于时间效率和监管确定性。借壳南岭民爆可规避IPO排队不确定性，利用存量上市公司资源快速实现资产证券化。同时，南岭民爆自身业务与民爆行业契合，交易后易于整合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标的筛选看，易普力作为央企子公司，在资质、市场、技术方面具有优势，但直接上市可能面临同业竞争和关联交易问题。通过借壳，南岭民爆的壳资源提供了合规路径。选择南岭民爆，因其市值较小、股权结构相对集中，且湖南省国资委愿意出让控制权，交易成本可控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交易结构设计看，本次交易采用发行股份购买资产方式，未涉及现金支付，避免了大额资金流出。同时募集配套资金用于补充流动资金和项目建设，增强了后续发展能力。交易完成后，中国能建取得控制权，实现了国有资产保值增值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并购后整合与价值释放看，易普力上市后，民爆业务获得独立融资平台，可借助资本市场进行横向整合。南岭民爆原有民爆产能得到优化，业务协同效应逐步显现。从交易安排看，中国能建承诺在一定期间内解决潜在同业竞争问题，进一步强化平台定位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三、可复用经验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第一，分拆上市与借壳结合可加速资产资本化进程。</w:t>
      </w:r>
      <w:r>
        <w:rPr>
          <w:rFonts w:ascii="Times New Roman" w:hAnsi="Times New Roman" w:eastAsia="仿宋" w:cs="Times New Roman"/>
          <w:b w:val="0"/>
          <w:sz w:val="28"/>
        </w:rPr>
        <w:t>对于央企集团内部优质资产，若符合上市条件但IPO审核周期长，可考虑借助已有上市平台，通过发行股份购买资产实现资产注入，同时实现控制权转移，操作灵活。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第二，选择“小而美”的壳公司能降低整合难度。</w:t>
      </w:r>
      <w:r>
        <w:rPr>
          <w:rFonts w:ascii="Times New Roman" w:hAnsi="Times New Roman" w:eastAsia="仿宋" w:cs="Times New Roman"/>
          <w:b w:val="0"/>
          <w:sz w:val="28"/>
        </w:rPr>
        <w:t>壳公司业务与拟注入资产具有行业相关性，可减少后续整合障碍。南岭民爆主营民爆产品，与易普力业务高度相似，整合后行业地位提升，监管阻力较小。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第三，交易结构设计中需关注控制权稳定与对价公允性。</w:t>
      </w:r>
      <w:r>
        <w:rPr>
          <w:rFonts w:ascii="Times New Roman" w:hAnsi="Times New Roman" w:eastAsia="仿宋" w:cs="Times New Roman"/>
          <w:b w:val="0"/>
          <w:sz w:val="28"/>
        </w:rPr>
        <w:t>发行股份定价应参考市场惯例，且需取得原股东支持。本次交易中，南岭民爆原实际控制人湖南省国资委获得股份对价后退出，交易对价经资产评估和监管审核，保障了各方利益。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第四，配套融资安排可增强方案吸引力。上市公司在资产注入同时募集配套资金，用于后续发展，有利于提升二级市场信心，同时也为资产整合提供资金支持。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四、结论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中国能建而言，本次交易实现了民爆板块从集团内部资产到独立上市公司的转变，提升了资产证券化率，并为后续专业化整合奠定了平台基础。对企业决策者的启示在于：当集团拥有非主业但具备独立发展能力的资产时，分拆上市是实现价值释放的重要路径；若目标资产体量大、IPO等待时间长，借壳可提供更高效的资本化方案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需要注意的是，借壳交易需要协调多方利益，包括壳公司原股东、监管机构及债权人，交易成本和时间不可低估。此外，上市后需履行持续信息披露及规范运作义务，对母公司的管控能力提出更高要求。决策者应结合自身资产属性、监管环境和市场时机综合判断，审慎选择交易路径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