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协议锚定与部分要约：逐越鸿智收购嘉美包装的控制权确定性路径</w:t>
      </w:r>
    </w:p>
    <w:p>
      <w:pPr>
        <w:spacing w:before="0" w:after="0" w:line="240" w:lineRule="auto" w:beforeLines="0" w:afterLines="0"/>
        <w:jc w:val="both"/>
        <w:ind w:firstLineChars="200"/>
      </w:pPr>
      <w:r>
        <w:rPr>
          <w:rFonts w:ascii="Times New Roman" w:hAnsi="Times New Roman" w:eastAsia="仿宋" w:cs="Times New Roman"/>
          <w:b w:val="0"/>
          <w:sz w:val="28"/>
        </w:rPr>
        <w:t>2026年6月5日，嘉美食品包装（滁州）股份有限公司（下称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嘉美包装</w:t>
      </w:r>
      <w:r>
        <w:rPr>
          <w:rFonts w:ascii="Times New Roman" w:hAnsi="Times New Roman" w:eastAsia="Times New Roman" w:cs="Times New Roman"/>
          <w:b w:val="0"/>
          <w:sz w:val="28"/>
        </w:rPr>
        <w:t>”</w:t>
      </w:r>
      <w:r>
        <w:rPr>
          <w:rFonts w:ascii="Times New Roman" w:hAnsi="Times New Roman" w:eastAsia="仿宋" w:cs="Times New Roman"/>
          <w:b w:val="0"/>
          <w:sz w:val="28"/>
        </w:rPr>
        <w:t>，002969）公告要约收购结果，苏州逐越鸿智科技发展合伙企业（有限合伙）（下称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逐越鸿智</w:t>
      </w:r>
      <w:r>
        <w:rPr>
          <w:rFonts w:ascii="Times New Roman" w:hAnsi="Times New Roman" w:eastAsia="Times New Roman" w:cs="Times New Roman"/>
          <w:b w:val="0"/>
          <w:sz w:val="28"/>
        </w:rPr>
        <w:t>”</w:t>
      </w:r>
      <w:r>
        <w:rPr>
          <w:rFonts w:ascii="Times New Roman" w:hAnsi="Times New Roman" w:eastAsia="仿宋" w:cs="Times New Roman"/>
          <w:b w:val="0"/>
          <w:sz w:val="28"/>
        </w:rPr>
        <w:t>）持股比例升至45.00%，成为控股股东。本次交易以每股45.00元现金方式部分要约233,491,406股，总金额约10,507,113,270元。与常规市场化要约不同，逐越鸿智在要约启动前即与中国食品包装有限公司（下称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中包香港</w:t>
      </w:r>
      <w:r>
        <w:rPr>
          <w:rFonts w:ascii="Times New Roman" w:hAnsi="Times New Roman" w:eastAsia="Times New Roman" w:cs="Times New Roman"/>
          <w:b w:val="0"/>
          <w:sz w:val="28"/>
        </w:rPr>
        <w:t>”</w:t>
      </w:r>
      <w:r>
        <w:rPr>
          <w:rFonts w:ascii="Times New Roman" w:hAnsi="Times New Roman" w:eastAsia="仿宋" w:cs="Times New Roman"/>
          <w:b w:val="0"/>
          <w:sz w:val="28"/>
        </w:rPr>
        <w:t>）、富新投资有限公司（下称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富新投资</w:t>
      </w:r>
      <w:r>
        <w:rPr>
          <w:rFonts w:ascii="Times New Roman" w:hAnsi="Times New Roman" w:eastAsia="Times New Roman" w:cs="Times New Roman"/>
          <w:b w:val="0"/>
          <w:sz w:val="28"/>
        </w:rPr>
        <w:t>”</w:t>
      </w:r>
      <w:r>
        <w:rPr>
          <w:rFonts w:ascii="Times New Roman" w:hAnsi="Times New Roman" w:eastAsia="仿宋" w:cs="Times New Roman"/>
          <w:b w:val="0"/>
          <w:sz w:val="28"/>
        </w:rPr>
        <w:t>）等股东签署了《股份转让协议》及《预先接受要约收购的协议》，将预定收购量的82%提前锁定。这一</w:t>
      </w:r>
      <w:r>
        <w:rPr>
          <w:rFonts w:ascii="Times New Roman" w:hAnsi="Times New Roman" w:eastAsia="Times New Roman" w:cs="Times New Roman"/>
          <w:b w:val="0"/>
          <w:sz w:val="28"/>
        </w:rPr>
        <w:t>“</w:t>
      </w:r>
      <w:r>
        <w:rPr>
          <w:rFonts w:ascii="Times New Roman" w:hAnsi="Times New Roman" w:eastAsia="仿宋" w:cs="Times New Roman"/>
          <w:b w:val="0"/>
          <w:sz w:val="28"/>
        </w:rPr>
        <w:t>协议锚定</w:t>
      </w:r>
      <w:r>
        <w:rPr>
          <w:rFonts w:ascii="Times New Roman" w:hAnsi="Times New Roman" w:eastAsia="Times New Roman" w:cs="Times New Roman"/>
          <w:b w:val="0"/>
          <w:sz w:val="28"/>
        </w:rPr>
        <w:t>”</w:t>
      </w:r>
      <w:r>
        <w:rPr>
          <w:rFonts w:ascii="Times New Roman" w:hAnsi="Times New Roman" w:eastAsia="仿宋" w:cs="Times New Roman"/>
          <w:b w:val="0"/>
          <w:sz w:val="28"/>
        </w:rPr>
        <w:t>设计，使25%比例的部分要约能平稳兑现45%的控制权，且成功维持上市公司地位。对存在友善退出大股东的A股公司而言，该案提供了一种低成本、高确定性的控制权收购范式。</w:t>
      </w:r>
    </w:p>
    <w:p>
      <w:pPr>
        <w:spacing w:before="0" w:after="0" w:line="240" w:lineRule="auto" w:beforeLines="0" w:afterLines="0"/>
        <w:jc w:val="left"/>
        <w:ind w:firstLineChars="200"/>
      </w:pPr>
      <w:r>
        <w:rPr>
          <w:rFonts w:ascii="Times New Roman" w:hAnsi="Times New Roman" w:eastAsia="仿宋" w:cs="Times New Roman"/>
          <w:b/>
          <w:sz w:val="28"/>
        </w:rPr>
        <w:t>一、分散股权下的控制权缺口：交易前的状态与触发逻辑</w:t>
      </w:r>
    </w:p>
    <w:p>
      <w:pPr>
        <w:spacing w:before="0" w:after="0" w:line="240" w:lineRule="auto" w:beforeLines="0" w:afterLines="0"/>
        <w:jc w:val="both"/>
        <w:ind w:firstLineChars="200"/>
      </w:pPr>
      <w:r>
        <w:rPr>
          <w:rFonts w:ascii="Times New Roman" w:hAnsi="Times New Roman" w:eastAsia="仿宋" w:cs="Times New Roman"/>
          <w:b w:val="0"/>
          <w:sz w:val="28"/>
        </w:rPr>
        <w:t>要约收购前，逐越鸿智已持有嘉美包装部分股份。根据收购完成后持股494,461,894股（占总股本45.00%）及预定收购233,491,406股可推知，收购前其持股约260,970,488股，占比约23.75%。嘉美包装总股本约1,098,804,208股，除逐越鸿智外，中包香港、富新投资等股东持股相对集中，但无一单独超过30%，控制权处于分散状态。这一股权结构意味着，任何重大战略决策都可能因股东间分歧而受阻，经营连续性面临潜在挑战。</w:t>
      </w:r>
    </w:p>
    <w:p>
      <w:pPr>
        <w:spacing w:before="0" w:after="0" w:line="240" w:lineRule="auto" w:beforeLines="0" w:afterLines="0"/>
        <w:jc w:val="both"/>
        <w:ind w:firstLineChars="200"/>
      </w:pPr>
      <w:r>
        <w:rPr>
          <w:rFonts w:ascii="Times New Roman" w:hAnsi="Times New Roman" w:eastAsia="仿宋" w:cs="Times New Roman"/>
          <w:b w:val="0"/>
          <w:sz w:val="28"/>
        </w:rPr>
        <w:t>嘉美包装主营食品金属包装，下游客户多为饮料、食品行业巨头，业务高度依赖长期供货协议。金属包装行业属资本密集型，客户认证周期长、转换成本高，产能扩张与技术改造需要稳定治理环境作为支撑。控制权的不确定性不仅可能动摇客户对供应稳定的信心，还可能迟滞公司对市场变化的响应速度。公告披露，本次要约收购旨在</w:t>
      </w:r>
      <w:r>
        <w:rPr>
          <w:rFonts w:ascii="Times New Roman" w:hAnsi="Times New Roman" w:eastAsia="Times New Roman" w:cs="Times New Roman"/>
          <w:b w:val="0"/>
          <w:sz w:val="28"/>
        </w:rPr>
        <w:t>“</w:t>
      </w:r>
      <w:r>
        <w:rPr>
          <w:rFonts w:ascii="Times New Roman" w:hAnsi="Times New Roman" w:eastAsia="仿宋" w:cs="Times New Roman"/>
          <w:b w:val="0"/>
          <w:sz w:val="28"/>
        </w:rPr>
        <w:t>进一步增持上市公司股份，助力公司长远发展，同时巩固上市公司控制权，优化股权结构</w:t>
      </w:r>
      <w:r>
        <w:rPr>
          <w:rFonts w:ascii="Times New Roman" w:hAnsi="Times New Roman" w:eastAsia="Times New Roman" w:cs="Times New Roman"/>
          <w:b w:val="0"/>
          <w:sz w:val="28"/>
        </w:rPr>
        <w:t>”</w:t>
      </w:r>
      <w:r>
        <w:rPr>
          <w:rFonts w:ascii="Times New Roman" w:hAnsi="Times New Roman" w:eastAsia="仿宋" w:cs="Times New Roman"/>
          <w:b w:val="0"/>
          <w:sz w:val="28"/>
        </w:rPr>
        <w:t>，反映出收购方已将控制权集中视为释放公司长期价值的必要条件。</w:t>
      </w:r>
    </w:p>
    <w:p>
      <w:pPr>
        <w:spacing w:before="0" w:after="0" w:line="240" w:lineRule="auto" w:beforeLines="0" w:afterLines="0"/>
        <w:jc w:val="both"/>
        <w:ind w:firstLineChars="200"/>
      </w:pPr>
      <w:r>
        <w:rPr>
          <w:rFonts w:ascii="Times New Roman" w:hAnsi="Times New Roman" w:eastAsia="仿宋" w:cs="Times New Roman"/>
          <w:b w:val="0"/>
          <w:sz w:val="28"/>
        </w:rPr>
        <w:t>交易由逐越鸿智主动发起。2026年4月29日，公司披露《要约收购报告书》，宣布向除自身外的全体股东发出部分要约，预定收购股份占剔除回购专用账户后总股本的25.00%。选择部分要约而非持续二级市场增持，核心考虑在于效率与确定性：若通过集中竞价或大宗交易逐步吸筹，不仅耗时漫长，且容易推高股价、引发投机资金干扰，最终成本与结果均难以控制。部分要约则一次性设定收购数量与价格，并借助《上市公司收购管理办法》允许的预先接受协议安排，从制度上降低交易失败风险。</w:t>
      </w:r>
    </w:p>
    <w:p>
      <w:pPr>
        <w:spacing w:before="0" w:after="0" w:line="240" w:lineRule="auto" w:beforeLines="0" w:afterLines="0"/>
        <w:jc w:val="left"/>
        <w:ind w:firstLineChars="200"/>
      </w:pPr>
      <w:r>
        <w:rPr>
          <w:rFonts w:ascii="Times New Roman" w:hAnsi="Times New Roman" w:eastAsia="仿宋" w:cs="Times New Roman"/>
          <w:b/>
          <w:sz w:val="28"/>
        </w:rPr>
        <w:t>二、协议锚定：如何将市场化要约转化为合同确定性</w:t>
      </w:r>
    </w:p>
    <w:p>
      <w:pPr>
        <w:spacing w:before="0" w:after="0" w:line="240" w:lineRule="auto" w:beforeLines="0" w:afterLines="0"/>
        <w:jc w:val="both"/>
        <w:ind w:firstLineChars="200"/>
      </w:pPr>
      <w:r>
        <w:rPr>
          <w:rFonts w:ascii="Times New Roman" w:hAnsi="Times New Roman" w:eastAsia="仿宋" w:cs="Times New Roman"/>
          <w:b w:val="0"/>
          <w:sz w:val="28"/>
        </w:rPr>
        <w:t>实现控制权跨越的核心工具，是逐越鸿智与主要股东签署的两类协议。根据公告，中包香港通过《股份转让协议》约定，以要约收购方式转让102,911,441股（占总股本约9.30%）；富新投资与中凯投资发展有限公司通过《预先接受要约收购的协议》，由富新投资转让88,991,910股（占总股本约8.10%）。两项合计191,903,351股，覆盖预定收购总量233,491,406股的约82.17%。这意味着，即使其余公众股东完全放弃预受，只要协议股东履约，收购方亦可完成绝大部分预定收购，并约率实现控制权目标。</w:t>
      </w:r>
    </w:p>
    <w:p>
      <w:pPr>
        <w:spacing w:before="0" w:after="0" w:line="240" w:lineRule="auto" w:beforeLines="0" w:afterLines="0"/>
        <w:jc w:val="both"/>
        <w:ind w:firstLineChars="200"/>
      </w:pPr>
      <w:r>
        <w:rPr>
          <w:rFonts w:ascii="Times New Roman" w:hAnsi="Times New Roman" w:eastAsia="仿宋" w:cs="Times New Roman"/>
          <w:b w:val="0"/>
          <w:sz w:val="28"/>
        </w:rPr>
        <w:t>预先接受协议的法律性质，属于附条件生效的股份出让预约。协议约定签约股东在要约期内负有按要约条件出售股份的义务，不得撤回或转投其他方向。这一安排将市场化要约中的公众预受不确定性转化为合同确定性，避免因预受不足导致要约失败。与此同时，股份转让通过在公开要约框架内完成交割，未触发因协议收购导致持股超过30%而需发起的全面要约义务，交易结构合规且成本可控。</w:t>
      </w:r>
    </w:p>
    <w:p>
      <w:pPr>
        <w:spacing w:before="0" w:after="0" w:line="240" w:lineRule="auto" w:beforeLines="0" w:afterLines="0"/>
        <w:jc w:val="both"/>
        <w:ind w:firstLineChars="200"/>
      </w:pPr>
      <w:r>
        <w:rPr>
          <w:rFonts w:ascii="Times New Roman" w:hAnsi="Times New Roman" w:eastAsia="仿宋" w:cs="Times New Roman"/>
          <w:b w:val="0"/>
          <w:sz w:val="28"/>
        </w:rPr>
        <w:t>要约期满后，逐越鸿智顺利收购预定股份，持股增至45.00%，控制权地位稳固。中包香港、富新投资等股东虽部分减持，但仍保留一定股权，继续参与公司治理。这一</w:t>
      </w:r>
      <w:r>
        <w:rPr>
          <w:rFonts w:ascii="Times New Roman" w:hAnsi="Times New Roman" w:eastAsia="Times New Roman" w:cs="Times New Roman"/>
          <w:b w:val="0"/>
          <w:sz w:val="28"/>
        </w:rPr>
        <w:t>“</w:t>
      </w:r>
      <w:r>
        <w:rPr>
          <w:rFonts w:ascii="Times New Roman" w:hAnsi="Times New Roman" w:eastAsia="仿宋" w:cs="Times New Roman"/>
          <w:b w:val="0"/>
          <w:sz w:val="28"/>
        </w:rPr>
        <w:t>以退为进</w:t>
      </w:r>
      <w:r>
        <w:rPr>
          <w:rFonts w:ascii="Times New Roman" w:hAnsi="Times New Roman" w:eastAsia="Times New Roman" w:cs="Times New Roman"/>
          <w:b w:val="0"/>
          <w:sz w:val="28"/>
        </w:rPr>
        <w:t>”</w:t>
      </w:r>
      <w:r>
        <w:rPr>
          <w:rFonts w:ascii="Times New Roman" w:hAnsi="Times New Roman" w:eastAsia="仿宋" w:cs="Times New Roman"/>
          <w:b w:val="0"/>
          <w:sz w:val="28"/>
        </w:rPr>
        <w:t>的股权重构，既满足了原股东的变现需求，又实现了收购方的控制权集中，本质上是多方协商后的共识型控制权转移。从收购方视角看，45%的持股已足够主导股东大会普通决议，并可通过提名多数董事实现对董事会的实际控制，为后续战略调整奠定了法律基础。</w:t>
      </w:r>
    </w:p>
    <w:p>
      <w:pPr>
        <w:spacing w:before="0" w:after="0" w:line="240" w:lineRule="auto" w:beforeLines="0" w:afterLines="0"/>
        <w:jc w:val="left"/>
        <w:ind w:firstLineChars="200"/>
      </w:pPr>
      <w:r>
        <w:rPr>
          <w:rFonts w:ascii="Times New Roman" w:hAnsi="Times New Roman" w:eastAsia="仿宋" w:cs="Times New Roman"/>
          <w:b/>
          <w:sz w:val="28"/>
        </w:rPr>
        <w:t>三、定价与上市地位维持：要约参数背后的合规底线</w:t>
      </w:r>
    </w:p>
    <w:p>
      <w:pPr>
        <w:spacing w:before="0" w:after="0" w:line="240" w:lineRule="auto" w:beforeLines="0" w:afterLines="0"/>
        <w:jc w:val="both"/>
        <w:ind w:firstLineChars="200"/>
      </w:pPr>
      <w:r>
        <w:rPr>
          <w:rFonts w:ascii="Times New Roman" w:hAnsi="Times New Roman" w:eastAsia="仿宋" w:cs="Times New Roman"/>
          <w:b w:val="0"/>
          <w:sz w:val="28"/>
        </w:rPr>
        <w:t>要约价格为每股45.00元，全部以现金支付。按预定收购数量计算，所需资金总额约10,507,113,270元。公开资料未披露资金来源，但收购主体为有限合伙企业，资金约率来自合伙人出资与外部融资的组合。根据《上市公司收购管理办法》，部分要约价格不得低于要约提示性公告日前6个月内收购人取得该种股票的最高价格，以及前30个交易日每日加权平均价格的算术平均值。本次定价在满足法规下限的基础上，可能包含与协议股东协商后的适度溢价，以确保其预受意愿。</w:t>
      </w:r>
    </w:p>
    <w:p>
      <w:pPr>
        <w:spacing w:before="0" w:after="0" w:line="240" w:lineRule="auto" w:beforeLines="0" w:afterLines="0"/>
        <w:jc w:val="both"/>
        <w:ind w:firstLineChars="200"/>
      </w:pPr>
      <w:r>
        <w:rPr>
          <w:rFonts w:ascii="Times New Roman" w:hAnsi="Times New Roman" w:eastAsia="仿宋" w:cs="Times New Roman"/>
          <w:b w:val="0"/>
          <w:sz w:val="28"/>
        </w:rPr>
        <w:t>维持上市地位是方案不可忽视的另一边界。《深圳证券交易所股票上市规则》要求，股本总额超过4亿元的上市公司，社会公众股东持股比例不得低于10%。公告明确说明，要约收购完成后，公司股权分布仍符合上市条件，上市地位不受影响。逐越鸿智在设计要约比例时，必然已精确测算公众持股底线不被突破。结合总股本约11亿股、收购人最终持股45%的实际情况，收购人及其一致行动人以外股东持股仍达55%，远超10%红线，上市公司平台得以保留，为后续潜在资本运作预留了空间。</w:t>
      </w:r>
    </w:p>
    <w:p>
      <w:pPr>
        <w:spacing w:before="0" w:after="0" w:line="240" w:lineRule="auto" w:beforeLines="0" w:afterLines="0"/>
        <w:jc w:val="both"/>
        <w:ind w:firstLineChars="200"/>
      </w:pPr>
      <w:r>
        <w:rPr>
          <w:rFonts w:ascii="Times New Roman" w:hAnsi="Times New Roman" w:eastAsia="仿宋" w:cs="Times New Roman"/>
          <w:b w:val="0"/>
          <w:sz w:val="28"/>
        </w:rPr>
        <w:t>将定价与维持上市条件结合看，本案的部分要约在收购成本与合规成本之间取得了平衡。相较于触发全面要约的协议收购，逐越鸿智仅动用约105亿元现金即完成控制权提升，同时避免了私有化或退市风险。对收购方而言，这既是一次控股权投资，也是对上市公司平台价值的精心维护。</w:t>
      </w:r>
    </w:p>
    <w:p>
      <w:pPr>
        <w:spacing w:before="0" w:after="0" w:line="240" w:lineRule="auto" w:beforeLines="0" w:afterLines="0"/>
        <w:jc w:val="left"/>
        <w:ind w:firstLineChars="200"/>
      </w:pPr>
      <w:r>
        <w:rPr>
          <w:rFonts w:ascii="Times New Roman" w:hAnsi="Times New Roman" w:eastAsia="仿宋" w:cs="Times New Roman"/>
          <w:b/>
          <w:sz w:val="28"/>
        </w:rPr>
        <w:t>四、产业整合与治理承接：控制权集中后的现实挑战</w:t>
      </w:r>
    </w:p>
    <w:p>
      <w:pPr>
        <w:spacing w:before="0" w:after="0" w:line="240" w:lineRule="auto" w:beforeLines="0" w:afterLines="0"/>
        <w:jc w:val="both"/>
        <w:ind w:firstLineChars="200"/>
      </w:pPr>
      <w:r>
        <w:rPr>
          <w:rFonts w:ascii="Times New Roman" w:hAnsi="Times New Roman" w:eastAsia="仿宋" w:cs="Times New Roman"/>
          <w:b w:val="0"/>
          <w:sz w:val="28"/>
        </w:rPr>
        <w:t>食品金属包装行业正经历成本压力与客户整合的双重变局。上游铝材、马口铁价格波动，下游饮料品牌集中度持续提升，要求包装企业具备更强的产能协调能力与客户黏性。嘉美包装作为行业重要参与者，稳定的控制权不仅有助于维护与核心客户的长期协议，更是推进产能整合、优化成本结构、抵御周期波动的治理前提。逐越鸿智取得控股权后，能否快速导入自身产业资源或管理经验，将成为价值释放的关键变量。</w:t>
      </w:r>
    </w:p>
    <w:p>
      <w:pPr>
        <w:spacing w:before="0" w:after="0" w:line="240" w:lineRule="auto" w:beforeLines="0" w:afterLines="0"/>
        <w:jc w:val="both"/>
        <w:ind w:firstLineChars="200"/>
      </w:pPr>
      <w:r>
        <w:rPr>
          <w:rFonts w:ascii="Times New Roman" w:hAnsi="Times New Roman" w:eastAsia="仿宋" w:cs="Times New Roman"/>
          <w:b w:val="0"/>
          <w:sz w:val="28"/>
        </w:rPr>
        <w:t>公告并未披露收购后的具体治理安排，但根据巩固控制权的目的，逐越鸿智约率将通过提名多数董事、调整管理层等方式渗透至经营层面。这一过程存在隐性整合成本：原管理团队稳定性、客户关系过渡、融资担保变更等均需平稳衔接。食品包装业务的客户认证周期长、供应粘性高，若整合中出现关键人员流失或服务中断，可能导致市场份额流失，削弱收购的长期价值。此外，有限合伙企业作为控股股东，其治理透明度与决策效率也可能引发市场关注。</w:t>
      </w:r>
    </w:p>
    <w:p>
      <w:pPr>
        <w:spacing w:before="0" w:after="0" w:line="240" w:lineRule="auto" w:beforeLines="0" w:afterLines="0"/>
        <w:jc w:val="both"/>
        <w:ind w:firstLineChars="200"/>
      </w:pPr>
      <w:r>
        <w:rPr>
          <w:rFonts w:ascii="Times New Roman" w:hAnsi="Times New Roman" w:eastAsia="仿宋" w:cs="Times New Roman"/>
          <w:b w:val="0"/>
          <w:sz w:val="28"/>
        </w:rPr>
        <w:t>对于未接受要约的中小股东，控制权变更引发的核心关切在于后续关联交易、资金占用及分红政策是否会出现不利变化。本案中，华泰联合证券有限责任公司作为独立财务顾问出具了要约收购报告书，董事会也发布了致全体股东的报告书，为股东决策提供了信息参考。但真正保障中小股东权益的，是控股股东后续的诚信履约与治理规范程度。监管约束与市场监督将构成此案落地后的持续性变量。</w:t>
      </w:r>
    </w:p>
    <w:p>
      <w:pPr>
        <w:spacing w:before="0" w:after="0" w:line="240" w:lineRule="auto" w:beforeLines="0" w:afterLines="0"/>
        <w:jc w:val="left"/>
        <w:ind w:firstLineChars="200"/>
      </w:pPr>
      <w:r>
        <w:rPr>
          <w:rFonts w:ascii="Times New Roman" w:hAnsi="Times New Roman" w:eastAsia="仿宋" w:cs="Times New Roman"/>
          <w:b/>
          <w:sz w:val="28"/>
        </w:rPr>
        <w:t>五、结语：部分要约确定性逻辑的重构与可复制条件</w:t>
      </w:r>
    </w:p>
    <w:p>
      <w:pPr>
        <w:spacing w:before="0" w:after="0" w:line="240" w:lineRule="auto" w:beforeLines="0" w:afterLines="0"/>
        <w:jc w:val="both"/>
        <w:ind w:firstLineChars="200"/>
      </w:pPr>
      <w:r>
        <w:rPr>
          <w:rFonts w:ascii="Times New Roman" w:hAnsi="Times New Roman" w:eastAsia="仿宋" w:cs="Times New Roman"/>
          <w:b w:val="0"/>
          <w:sz w:val="28"/>
        </w:rPr>
        <w:t>逐越鸿智收购嘉美包装的交易，展示了一种以</w:t>
      </w:r>
      <w:r>
        <w:rPr>
          <w:rFonts w:ascii="Times New Roman" w:hAnsi="Times New Roman" w:eastAsia="Times New Roman" w:cs="Times New Roman"/>
          <w:b w:val="0"/>
          <w:sz w:val="28"/>
        </w:rPr>
        <w:t>“</w:t>
      </w:r>
      <w:r>
        <w:rPr>
          <w:rFonts w:ascii="Times New Roman" w:hAnsi="Times New Roman" w:eastAsia="仿宋" w:cs="Times New Roman"/>
          <w:b w:val="0"/>
          <w:sz w:val="28"/>
        </w:rPr>
        <w:t>协议锚定</w:t>
      </w:r>
      <w:r>
        <w:rPr>
          <w:rFonts w:ascii="Times New Roman" w:hAnsi="Times New Roman" w:eastAsia="Times New Roman" w:cs="Times New Roman"/>
          <w:b w:val="0"/>
          <w:sz w:val="28"/>
        </w:rPr>
        <w:t>”</w:t>
      </w:r>
      <w:r>
        <w:rPr>
          <w:rFonts w:ascii="Times New Roman" w:hAnsi="Times New Roman" w:eastAsia="仿宋" w:cs="Times New Roman"/>
          <w:b w:val="0"/>
          <w:sz w:val="28"/>
        </w:rPr>
        <w:t>为核心的部分要约路径：在要约公告前，通过与主要股东签署具有法律约束力的预先接受协议，将预受量锁定在82%以上，从而用25%的部分要约平稳实现45%的控股权，且同步维持了上市地位。该结构的实质，是以合同确定性替代市场不确定性，使要约收购从被动等待公众预受转变为主动设计要约结果。</w:t>
      </w:r>
    </w:p>
    <w:p>
      <w:pPr>
        <w:spacing w:before="0" w:after="0" w:line="240" w:lineRule="auto" w:beforeLines="0" w:afterLines="0"/>
        <w:jc w:val="both"/>
        <w:ind w:firstLineChars="200"/>
      </w:pPr>
      <w:r>
        <w:rPr>
          <w:rFonts w:ascii="Times New Roman" w:hAnsi="Times New Roman" w:eastAsia="仿宋" w:cs="Times New Roman"/>
          <w:b w:val="0"/>
          <w:sz w:val="28"/>
        </w:rPr>
        <w:t>本案的方法论意义可归结为三点。其一，要约前须精准识别可锁定的关键股东，并通过附条件协议将出售意愿转化为义务，这是降低要约失败风险的核心前提。其二，要约比例设计须兼顾控制权目标与上市地位底线，提前与监管沟通确认公众持股要求，避免顾此失彼。其三，要约定价不仅要满足法规下限，更需在协议股东利益与收购成本之间找到均衡点，防止因价格不当引发违约或预受不足。本案中，中包香港与富新投资分别通过股份转让协议和预先接受协议参与，但内在逻辑一致——提前锁定，集中交割。</w:t>
      </w:r>
    </w:p>
    <w:p>
      <w:pPr>
        <w:spacing w:before="0" w:after="0" w:line="240" w:lineRule="auto" w:beforeLines="0" w:afterLines="0"/>
        <w:jc w:val="both"/>
        <w:ind w:firstLineChars="200"/>
      </w:pPr>
      <w:r>
        <w:rPr>
          <w:rFonts w:ascii="Times New Roman" w:hAnsi="Times New Roman" w:eastAsia="仿宋" w:cs="Times New Roman"/>
          <w:b w:val="0"/>
          <w:sz w:val="28"/>
        </w:rPr>
        <w:t>该模式的复制依赖若干现实条件：被收购公司需存在持股集中且具备退出意愿的关键股东；收购方需有能力与这些股东达成一致的商业条款；股权结构需为部分要约留出充足的预受空间而不威胁上市地位。嘉美包装的分散股权结构、大股东变现诉求以及收购方的资金实力，三者共同构成了这一交易成功的基石。对于后续同类交易，此案提示：部分要约收购的成败，往往在要约公告前就已由协议结构所决定；控制权取得不止于持股比例的算术跨越，更仰仗对交易对手行为的提前锁定。</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