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张江集团受让科学之门16.51%股权：非公开转让的定价与治理安排</w:t>
      </w:r>
    </w:p>
    <w:p>
      <w:pPr>
        <w:spacing w:before="0" w:after="0" w:line="240" w:lineRule="auto" w:beforeLines="0" w:afterLines="0"/>
        <w:jc w:val="both"/>
        <w:ind w:firstLineChars="200"/>
      </w:pPr>
      <w:r>
        <w:rPr>
          <w:rFonts w:ascii="Times New Roman" w:hAnsi="Times New Roman" w:eastAsia="仿宋" w:cs="Times New Roman"/>
          <w:b w:val="0"/>
          <w:sz w:val="28"/>
        </w:rPr>
        <w:t>国企集团内部，通过非公开协议转让将合资项目公司股权从上市公司向控股股东归集，如何在定价公允性与交易效率之间取得平衡，是此类关联资产整合必须回答的问题。2026年6月17日，上海张江高科技园区开发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张江高科</w:t>
      </w:r>
      <w:r>
        <w:rPr>
          <w:rFonts w:ascii="Times New Roman" w:hAnsi="Times New Roman" w:eastAsia="Times New Roman" w:cs="Times New Roman"/>
          <w:b w:val="0"/>
          <w:sz w:val="28"/>
        </w:rPr>
        <w:t>”</w:t>
      </w:r>
      <w:r>
        <w:rPr>
          <w:rFonts w:ascii="Times New Roman" w:hAnsi="Times New Roman" w:eastAsia="仿宋" w:cs="Times New Roman"/>
          <w:b w:val="0"/>
          <w:sz w:val="28"/>
        </w:rPr>
        <w:t>，600895）公告，拟将其持有的上海张江科学之门科技发展有限公司（下称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张江科学之门</w:t>
      </w:r>
      <w:r>
        <w:rPr>
          <w:rFonts w:ascii="Times New Roman" w:hAnsi="Times New Roman" w:eastAsia="Times New Roman" w:cs="Times New Roman"/>
          <w:b w:val="0"/>
          <w:sz w:val="28"/>
        </w:rPr>
        <w:t>”</w:t>
      </w:r>
      <w:r>
        <w:rPr>
          <w:rFonts w:ascii="Times New Roman" w:hAnsi="Times New Roman" w:eastAsia="仿宋" w:cs="Times New Roman"/>
          <w:b w:val="0"/>
          <w:sz w:val="28"/>
        </w:rPr>
        <w:t>）16.51%股权，以12.8亿元转让给控股股东上海张江（集团）有限公司（下称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张江集团</w:t>
      </w:r>
      <w:r>
        <w:rPr>
          <w:rFonts w:ascii="Times New Roman" w:hAnsi="Times New Roman" w:eastAsia="Times New Roman" w:cs="Times New Roman"/>
          <w:b w:val="0"/>
          <w:sz w:val="28"/>
        </w:rPr>
        <w:t>”</w:t>
      </w:r>
      <w:r>
        <w:rPr>
          <w:rFonts w:ascii="Times New Roman" w:hAnsi="Times New Roman" w:eastAsia="仿宋" w:cs="Times New Roman"/>
          <w:b w:val="0"/>
          <w:sz w:val="28"/>
        </w:rPr>
        <w:t>）。张江科学之门成立于2019年7月，由张江高科与张江集团合资设立，是张江科学城核心区的重要开发主体。交易采用资产基础法定价，全额一次付清，不设业绩对赌，经独立董事专门会议审议并报浦东新区国资委备案。这宗收购在上市公司持有少数股权流动性受限、集团谋求统一控制权的现实需求下被推进，其定价依据、支付安排及治理程序完整展现了国企体系内资源调配的效率优先逻辑，也为观察关联交易中的公允性保障提供了可解剖的样本。</w:t>
      </w:r>
    </w:p>
    <w:p>
      <w:pPr>
        <w:spacing w:before="0" w:after="0" w:line="240" w:lineRule="auto" w:beforeLines="0" w:afterLines="0"/>
        <w:jc w:val="left"/>
        <w:ind w:firstLineChars="200"/>
      </w:pPr>
      <w:r>
        <w:rPr>
          <w:rFonts w:ascii="Times New Roman" w:hAnsi="Times New Roman" w:eastAsia="仿宋" w:cs="Times New Roman"/>
          <w:b/>
          <w:sz w:val="28"/>
        </w:rPr>
        <w:t>一、科学之门项目承载区域产业载体功能，合资架构天然预留整合接口</w:t>
      </w:r>
    </w:p>
    <w:p>
      <w:pPr>
        <w:spacing w:before="0" w:after="0" w:line="240" w:lineRule="auto" w:beforeLines="0" w:afterLines="0"/>
        <w:jc w:val="both"/>
        <w:ind w:firstLineChars="200"/>
      </w:pPr>
      <w:r>
        <w:rPr>
          <w:rFonts w:ascii="Times New Roman" w:hAnsi="Times New Roman" w:eastAsia="仿宋" w:cs="Times New Roman"/>
          <w:b w:val="0"/>
          <w:sz w:val="28"/>
        </w:rPr>
        <w:t>张江科学之门成立于2019年7月，由张江高科与张江集团合资设立，注册资本及初始股权比例未在公告中披露。张江高科是张江科学城的主要上市开发平台，长期负责园区产业地产的开发和运营；张江集团则是上海市浦东新区国资委全资持有的区域开发旗舰，注册资本31.13亿元，截至2025年末资产总额达1,387.88亿元，主营业务涵盖房地产开发经营等。两者合资有助于整合市场化运作经验与政府资源优势，推动科学之门这一地标性项目快速落地。公告虽未披露标的公司财务数据，但以本次交易估值反推，其100%股权对应价值约77.53亿元，在区域产业载体中体量可观，反映出科学之门作为核心资产的地位。随着项目逐步进入建设运营阶段，分散于两个主体的股权架构开始显现整合需求。对张江高科而言，持有16.51%少数股权既难以影响项目关键决策，也限制了资产流动性，将其置出可回笼现金、优化上市公司资产结构。对张江集团而言，进一步提升持股比例能统一控制权，消除后续融资或资本运作中的协调成本，并为项目全周期开发提供更坚实的治理基础。公告未披露张江高科转让的主观动机，但结合其上市公司身份和该比例股权的非控制性特征，接受12.8亿元现金对价、全额一次付清且不附带业绩对赌，在财务上具有现实合理性。</w:t>
      </w:r>
    </w:p>
    <w:p>
      <w:pPr>
        <w:spacing w:before="0" w:after="0" w:line="240" w:lineRule="auto" w:beforeLines="0" w:afterLines="0"/>
        <w:jc w:val="both"/>
        <w:ind w:firstLineChars="200"/>
      </w:pPr>
      <w:r>
        <w:rPr>
          <w:rFonts w:ascii="Times New Roman" w:hAnsi="Times New Roman" w:eastAsia="仿宋" w:cs="Times New Roman"/>
          <w:b w:val="0"/>
          <w:sz w:val="28"/>
        </w:rPr>
        <w:t>交易前张江集团已为控股股东，本次受让将进一步强化对科学之门的战略控制。从产业位置看，张江科学城是上海建设具有全球影响力科技创新中心的核心承载区，高品质产业物业的供给直接影响创新要素的集聚，科学之门项目作为区内重点工程，其统一运营对于保障物业品质、协调招商节奏具有直接意义。张江集团作为区域开发的总牵头方，将项目公司股权集中至自身报表，有利于统筹产业规划与资本化节奏，为后续可能的REITs发行或引入战略投资者铺垫产权基础。</w:t>
      </w:r>
    </w:p>
    <w:p>
      <w:pPr>
        <w:spacing w:before="0" w:after="0" w:line="240" w:lineRule="auto" w:beforeLines="0" w:afterLines="0"/>
        <w:jc w:val="left"/>
        <w:ind w:firstLineChars="200"/>
      </w:pPr>
      <w:r>
        <w:rPr>
          <w:rFonts w:ascii="Times New Roman" w:hAnsi="Times New Roman" w:eastAsia="仿宋" w:cs="Times New Roman"/>
          <w:b/>
          <w:sz w:val="28"/>
        </w:rPr>
        <w:t>二、非公开协议转让以12.8亿元一次性收紧控制权，交易启动路径与条款设计突出效率</w:t>
      </w:r>
    </w:p>
    <w:p>
      <w:pPr>
        <w:spacing w:before="0" w:after="0" w:line="240" w:lineRule="auto" w:beforeLines="0" w:afterLines="0"/>
        <w:jc w:val="both"/>
        <w:ind w:firstLineChars="200"/>
      </w:pPr>
      <w:r>
        <w:rPr>
          <w:rFonts w:ascii="Times New Roman" w:hAnsi="Times New Roman" w:eastAsia="仿宋" w:cs="Times New Roman"/>
          <w:b w:val="0"/>
          <w:sz w:val="28"/>
        </w:rPr>
        <w:t>本次交易采用非公开协议转让方式，由张江高科董事会发起，经第九届董事会第二十五次会议决议通过，同时由第九届董事会第六次独立董事专门会议先行审议。对价12.8亿元对应16.51%股权，支付安排为全额一次付清，且明确不设业绩对赌。非公开协议转让适用于同一国资监管机构内部的重组事项，相较于进场挂牌交易，可以避免公开市场的不确定性，缩短交易周期，降低时间成本与中介费用。在信息对称的集团体系内，采用这一路径是追求效率的合理选择。全额一次性支付进一步简化了流程，买卖双方无需分期或设置对赌条款，突出内部资源调配的效率优先原则。交易启动的直接契机在公告中未明确披露，但可从条款设计推断其客观逻辑：以2025年12月31日为评估基准日，由上海银信资产评估有限公司出具评估报告，并报上海市浦东新区国资委备案，由此确定交易价格。这一程序同时满足了上市公司关联交易合规要求与国资监管的定价约束。</w:t>
      </w:r>
    </w:p>
    <w:p>
      <w:pPr>
        <w:spacing w:before="0" w:after="0" w:line="240" w:lineRule="auto" w:beforeLines="0" w:afterLines="0"/>
        <w:jc w:val="both"/>
        <w:ind w:firstLineChars="200"/>
      </w:pPr>
      <w:r>
        <w:rPr>
          <w:rFonts w:ascii="Times New Roman" w:hAnsi="Times New Roman" w:eastAsia="仿宋" w:cs="Times New Roman"/>
          <w:b w:val="0"/>
          <w:sz w:val="28"/>
        </w:rPr>
        <w:t>卖方张江高科虽未披露其交易动机，但全额一次性收回现金且无需对赌，意味着其彻底退出该少数股权，既无后续业绩义务，也锁定了即时收益，这构成其接受该安排的现实经济基础。买方张江集团则通过一次性支付获得更多控制权，同时承接了项目未来的全部经营风险，这种风险分配在国企体系内实质上仍由同一国资主体承担，因而得以简化条款设计。</w:t>
      </w:r>
    </w:p>
    <w:p>
      <w:pPr>
        <w:spacing w:before="0" w:after="0" w:line="240" w:lineRule="auto" w:beforeLines="0" w:afterLines="0"/>
        <w:jc w:val="left"/>
        <w:ind w:firstLineChars="200"/>
      </w:pPr>
      <w:r>
        <w:rPr>
          <w:rFonts w:ascii="Times New Roman" w:hAnsi="Times New Roman" w:eastAsia="仿宋" w:cs="Times New Roman"/>
          <w:b/>
          <w:sz w:val="28"/>
        </w:rPr>
        <w:t>三、资产基础法定价契合不动产项目公司特征，但未来收益忽略形成估值折让</w:t>
      </w:r>
    </w:p>
    <w:p>
      <w:pPr>
        <w:spacing w:before="0" w:after="0" w:line="240" w:lineRule="auto" w:beforeLines="0" w:afterLines="0"/>
        <w:jc w:val="both"/>
        <w:ind w:firstLineChars="200"/>
      </w:pPr>
      <w:r>
        <w:rPr>
          <w:rFonts w:ascii="Times New Roman" w:hAnsi="Times New Roman" w:eastAsia="仿宋" w:cs="Times New Roman"/>
          <w:b w:val="0"/>
          <w:sz w:val="28"/>
        </w:rPr>
        <w:t>定价依据是银信资产评估以2025年12月31日为基准日出具的资产基础法评估报告，并经浦东新区国资委备案。资产基础法以资产负债表为基础，对各项资产与负债分别评估后加总得出股东全部权益价值。科学之门作为项目公司，主要资产为在建工程或投资性房地产，资产基础法能够较客观地反映土地取得成本及建筑物重置成本，评估过程可验证性强，且便于国资监管审查，是国企股权转让中的常用方法。然而，该方法忽略企业持续经营能力与未来收益潜力。科学之门位于张江科学城核心地段，其价值不仅在于当前的建造成本，更在于长周期内高附加值产业的承租需求所带来的租金成长性、物业增值空间以及对集团产城融合生态的协同贡献。</w:t>
      </w:r>
    </w:p>
    <w:p>
      <w:pPr>
        <w:spacing w:before="0" w:after="0" w:line="240" w:lineRule="auto" w:beforeLines="0" w:afterLines="0"/>
        <w:jc w:val="both"/>
        <w:ind w:firstLineChars="200"/>
      </w:pPr>
      <w:r>
        <w:rPr>
          <w:rFonts w:ascii="Times New Roman" w:hAnsi="Times New Roman" w:eastAsia="仿宋" w:cs="Times New Roman"/>
          <w:b w:val="0"/>
          <w:sz w:val="28"/>
        </w:rPr>
        <w:t>交易未设置业绩对赌，且全额一次付清，进一步表明双方对资产基础法所确定的重置成本基准的认同。买方张江集团承担了未来经营的全部收益与风险，这意味着在公开资料所示条件下，科学之门未来运营表现若超出重置成本，相关增值将全部归于集团合并报表，而卖方张江高科无法分享。这一安排虽然提升了交易效率，但也可能形成定价与潜在市场价值之间的偏离。对于国企关联交易而言，定价方法的选择不仅是一个技术问题，更是如何在效率与公平之间构筑可信基础。在资产基础法之外补充收益法或市场法评估值作为参考，并披露关键情形及敏感性分析，将有助于消除外部股东对价值低估的疑虑。</w:t>
      </w:r>
    </w:p>
    <w:p>
      <w:pPr>
        <w:spacing w:before="0" w:after="0" w:line="240" w:lineRule="auto" w:beforeLines="0" w:afterLines="0"/>
        <w:jc w:val="left"/>
        <w:ind w:firstLineChars="200"/>
      </w:pPr>
      <w:r>
        <w:rPr>
          <w:rFonts w:ascii="Times New Roman" w:hAnsi="Times New Roman" w:eastAsia="仿宋" w:cs="Times New Roman"/>
          <w:b/>
          <w:sz w:val="28"/>
        </w:rPr>
        <w:t>四、关联交易治理由独立董事专门会议和国资备案构筑程序闭环，信息透明仍存提升空间</w:t>
      </w:r>
    </w:p>
    <w:p>
      <w:pPr>
        <w:spacing w:before="0" w:after="0" w:line="240" w:lineRule="auto" w:beforeLines="0" w:afterLines="0"/>
        <w:jc w:val="both"/>
        <w:ind w:firstLineChars="200"/>
      </w:pPr>
      <w:r>
        <w:rPr>
          <w:rFonts w:ascii="Times New Roman" w:hAnsi="Times New Roman" w:eastAsia="仿宋" w:cs="Times New Roman"/>
          <w:b w:val="0"/>
          <w:sz w:val="28"/>
        </w:rPr>
        <w:t>由于受让方张江集团是张江高科的控股股东，本次交易构成关联交易，须履行严格治理程序。公告显示，交易在董事会审议前，已由第九届董事会第六次独立董事专门会议先行审议通过。独立董事专门会议是2023年监管改革后强化的前置机制，要求独立董事在关联交易提交董事会前独立发表意见，以防止控股股东损害公司利益。同时，评估结果须报浦东新区国资委备案，体现国资监管的行政约束。双层程序在形式上构筑了避免利益输送的防火墙。</w:t>
      </w:r>
    </w:p>
    <w:p>
      <w:pPr>
        <w:spacing w:before="0" w:after="0" w:line="240" w:lineRule="auto" w:beforeLines="0" w:afterLines="0"/>
        <w:jc w:val="both"/>
        <w:ind w:firstLineChars="200"/>
      </w:pPr>
      <w:r>
        <w:rPr>
          <w:rFonts w:ascii="Times New Roman" w:hAnsi="Times New Roman" w:eastAsia="仿宋" w:cs="Times New Roman"/>
          <w:b w:val="0"/>
          <w:sz w:val="28"/>
        </w:rPr>
        <w:t>然而，公告仅披露独立董事专门会议决议的通过结论，未公开讨论过程、独立董事对定价方法选择的质疑或改善建议。对于持有张江高科股票的中小股东而言，仅凭通过结论难以判断独立董事是否对交易价格及条款进行了充分博弈。国资委备案的性质是事后知悉还是事前审批，公告亦未明确。比程序本身更关键的是，评估模型中的关键参数是否合理，以及这些信息能否被充分传递给市场。本案在程序启动上符合现行规定，但信息披露的颗粒度仍有提升空间：将独立董事审议中对定价情形、可比案例的选择、不同评估方法结论的比较等实质性内容以摘要形式公开，将显著增强交易公信力。</w:t>
      </w:r>
    </w:p>
    <w:p>
      <w:pPr>
        <w:spacing w:before="0" w:after="0" w:line="240" w:lineRule="auto" w:beforeLines="0" w:afterLines="0"/>
        <w:jc w:val="left"/>
        <w:ind w:firstLineChars="200"/>
      </w:pPr>
      <w:r>
        <w:rPr>
          <w:rFonts w:ascii="Times New Roman" w:hAnsi="Times New Roman" w:eastAsia="仿宋" w:cs="Times New Roman"/>
          <w:b/>
          <w:sz w:val="28"/>
        </w:rPr>
        <w:t>五、交易财务后果分化：张江高科回笼现金，张江集团承接风险并铺垫资本运作</w:t>
      </w:r>
    </w:p>
    <w:p>
      <w:pPr>
        <w:spacing w:before="0" w:after="0" w:line="240" w:lineRule="auto" w:beforeLines="0" w:afterLines="0"/>
        <w:jc w:val="both"/>
        <w:ind w:firstLineChars="200"/>
      </w:pPr>
      <w:r>
        <w:rPr>
          <w:rFonts w:ascii="Times New Roman" w:hAnsi="Times New Roman" w:eastAsia="仿宋" w:cs="Times New Roman"/>
          <w:b w:val="0"/>
          <w:sz w:val="28"/>
        </w:rPr>
        <w:t>对卖方张江高科而言，转让科学之门16.51%股权可一次性收回12.8亿元现金，直接增加货币资金，有助于降低资产负债率、优化财务结构。公告未披露张江高科对该项投资的原始成本，但以资产基础法评估值退出通常能确认一定投资收益，增厚当期利润，为其再投资或偿债提供财务弹性。从集团合并层面看，张江高科剥离了这一少数股权，使科学之门项目在上市公司报表中的权益比例下降，但也相应减少了未来的收益分享。</w:t>
      </w:r>
    </w:p>
    <w:p>
      <w:pPr>
        <w:spacing w:before="0" w:after="0" w:line="240" w:lineRule="auto" w:beforeLines="0" w:afterLines="0"/>
        <w:jc w:val="both"/>
        <w:ind w:firstLineChars="200"/>
      </w:pPr>
      <w:r>
        <w:rPr>
          <w:rFonts w:ascii="Times New Roman" w:hAnsi="Times New Roman" w:eastAsia="仿宋" w:cs="Times New Roman"/>
          <w:b w:val="0"/>
          <w:sz w:val="28"/>
        </w:rPr>
        <w:t>对买方张江集团，其2025年末资产总额已达1,387.88亿元，本次12.8亿元支出占比较小，但交易完成后将进一步增强对科学之门的控制权，巩固合并报表权益份额，有利于集团统一调配项目未来现金流和融资安排。考虑到科学之门100%股权对应估值约77.53亿元，且该估值缺乏公开市场可比交易佐证，若集团未来以该项目为底层资产进行资本化操作，例如发行公募REITs或引入战略投资者，其市场定价可能显著高于本次转让对价，相关增值将全部归属于张江集团合并报表，张江高科仅能通过持股张江集团间接享受部分收益。交易不设对赌，卖方完全退出，买方独自承担项目经营风险，但鉴于双方同属浦东新区国资体系，最终风险仍由同一国资主体承担，这一设计凸显了体系内资源调配的效率优先逻辑。</w:t>
      </w:r>
    </w:p>
    <w:p>
      <w:pPr>
        <w:spacing w:before="0" w:after="0" w:line="240" w:lineRule="auto" w:beforeLines="0" w:afterLines="0"/>
        <w:jc w:val="left"/>
        <w:ind w:firstLineChars="200"/>
      </w:pPr>
      <w:r>
        <w:rPr>
          <w:rFonts w:ascii="Times New Roman" w:hAnsi="Times New Roman" w:eastAsia="仿宋" w:cs="Times New Roman"/>
          <w:b/>
          <w:sz w:val="28"/>
        </w:rPr>
        <w:t>六、结语：国企内部资产整合须在定价公允与效率间建立可检验的制度平衡</w:t>
      </w:r>
    </w:p>
    <w:p>
      <w:pPr>
        <w:spacing w:before="0" w:after="0" w:line="240" w:lineRule="auto" w:beforeLines="0" w:afterLines="0"/>
        <w:jc w:val="both"/>
        <w:ind w:firstLineChars="200"/>
      </w:pPr>
      <w:r>
        <w:rPr>
          <w:rFonts w:ascii="Times New Roman" w:hAnsi="Times New Roman" w:eastAsia="仿宋" w:cs="Times New Roman"/>
          <w:b w:val="0"/>
          <w:sz w:val="28"/>
        </w:rPr>
        <w:t>张江集团收购张江高科所持张江科学之门16.51%股权，本质上是浦东新区国资体系内的一次资产归集与股权集中。交易以非公开协议转让为路径，以资产基础法定价，以全额一次性支付、不设对赌为条款特征，依托独立董事专门会议和国资备案程序完成关联交易合规审查，整体呈现出</w:t>
      </w:r>
      <w:r>
        <w:rPr>
          <w:rFonts w:ascii="Times New Roman" w:hAnsi="Times New Roman" w:eastAsia="Times New Roman" w:cs="Times New Roman"/>
          <w:b w:val="0"/>
          <w:sz w:val="28"/>
        </w:rPr>
        <w:t>“</w:t>
      </w:r>
      <w:r>
        <w:rPr>
          <w:rFonts w:ascii="Times New Roman" w:hAnsi="Times New Roman" w:eastAsia="仿宋" w:cs="Times New Roman"/>
          <w:b w:val="0"/>
          <w:sz w:val="28"/>
        </w:rPr>
        <w:t>效率优先、程序保障</w:t>
      </w:r>
      <w:r>
        <w:rPr>
          <w:rFonts w:ascii="Times New Roman" w:hAnsi="Times New Roman" w:eastAsia="Times New Roman" w:cs="Times New Roman"/>
          <w:b w:val="0"/>
          <w:sz w:val="28"/>
        </w:rPr>
        <w:t>”</w:t>
      </w:r>
      <w:r>
        <w:rPr>
          <w:rFonts w:ascii="Times New Roman" w:hAnsi="Times New Roman" w:eastAsia="仿宋" w:cs="Times New Roman"/>
          <w:b w:val="0"/>
          <w:sz w:val="28"/>
        </w:rPr>
        <w:t>的运作逻辑。该案例的直接启示在于，在国企内部资产整合中，非公开协议转让能够快速完成控制权调整，但定价的公允性和中小股东利益的保护，不能仅依靠程序合规，而应引入多元评估方法、多口径估值交叉验证以及更充分的信息披露来共同支撑。</w:t>
      </w:r>
    </w:p>
    <w:p>
      <w:pPr>
        <w:spacing w:before="0" w:after="0" w:line="240" w:lineRule="auto" w:beforeLines="0" w:afterLines="0"/>
        <w:jc w:val="both"/>
        <w:ind w:firstLineChars="200"/>
      </w:pPr>
      <w:r>
        <w:rPr>
          <w:rFonts w:ascii="Times New Roman" w:hAnsi="Times New Roman" w:eastAsia="仿宋" w:cs="Times New Roman"/>
          <w:b w:val="0"/>
          <w:sz w:val="28"/>
        </w:rPr>
        <w:t>具体而言，在设计同类交易时，应当补充收益法或市场法评估作为参考，并在公告中披露不同方法下的估值差异及选择资产基础法的主要理由；独立董事专门会议的审议意见应包含对关键情形和参数的实质性分析，并以摘要形式公开；交易定价所依据的可比案例、土地基准地价变动趋势、开发进度折现系数等敏感性信息也应纳入公告范围，赋予中小股东判断工具。这些改进并非否定效率，而是为效率提供更稳固的制度基础。本案清晰展示了大型国企在资产整合实践中如何在同一国资体系内平衡速度与公平，其得失刻度可为后来者提供方法上的参照。</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