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安钢集团全额认购安阳钢铁定增：免于要约规则下持股升至75.86%的控股权巩固</w:t>
      </w:r>
    </w:p>
    <w:p>
      <w:pPr>
        <w:spacing w:before="0" w:after="0" w:line="240" w:lineRule="auto" w:beforeLines="0" w:afterLines="0"/>
        <w:jc w:val="both"/>
        <w:ind w:firstLineChars="200"/>
      </w:pPr>
      <w:r>
        <w:rPr>
          <w:rFonts w:ascii="Times New Roman" w:hAnsi="Times New Roman" w:eastAsia="仿宋" w:cs="Times New Roman"/>
          <w:b w:val="0"/>
          <w:sz w:val="28"/>
        </w:rPr>
        <w:t>股票代码600569控股股东通过上市公司定向增发强化控制权，相关安排落实后善用</w:t>
      </w:r>
      <w:r>
        <w:rPr>
          <w:rFonts w:ascii="Times New Roman" w:hAnsi="Times New Roman" w:eastAsia="Times New Roman" w:cs="Times New Roman"/>
          <w:b w:val="0"/>
          <w:sz w:val="28"/>
        </w:rPr>
        <w:t>“</w:t>
      </w:r>
      <w:r>
        <w:rPr>
          <w:rFonts w:ascii="Times New Roman" w:hAnsi="Times New Roman" w:eastAsia="仿宋" w:cs="Times New Roman"/>
          <w:b w:val="0"/>
          <w:sz w:val="28"/>
        </w:rPr>
        <w:t>持股50%以上继续增持不影响上市地位</w:t>
      </w:r>
      <w:r>
        <w:rPr>
          <w:rFonts w:ascii="Times New Roman" w:hAnsi="Times New Roman" w:eastAsia="Times New Roman" w:cs="Times New Roman"/>
          <w:b w:val="0"/>
          <w:sz w:val="28"/>
        </w:rPr>
        <w:t>”</w:t>
      </w:r>
      <w:r>
        <w:rPr>
          <w:rFonts w:ascii="Times New Roman" w:hAnsi="Times New Roman" w:eastAsia="仿宋" w:cs="Times New Roman"/>
          <w:b w:val="0"/>
          <w:sz w:val="28"/>
        </w:rPr>
        <w:t>的豁免，便可在不触发全面要约的前提下高效完成资本注入与股权集中。安阳钢铁集团有限责任公司（下称</w:t>
      </w:r>
      <w:r>
        <w:rPr>
          <w:rFonts w:ascii="Times New Roman" w:hAnsi="Times New Roman" w:eastAsia="Times New Roman" w:cs="Times New Roman"/>
          <w:b w:val="0"/>
          <w:sz w:val="28"/>
        </w:rPr>
        <w:t>“</w:t>
      </w:r>
      <w:r>
        <w:rPr>
          <w:rFonts w:ascii="Times New Roman" w:hAnsi="Times New Roman" w:eastAsia="仿宋" w:cs="Times New Roman"/>
          <w:b w:val="0"/>
          <w:sz w:val="28"/>
        </w:rPr>
        <w:t>安钢集团</w:t>
      </w:r>
      <w:r>
        <w:rPr>
          <w:rFonts w:ascii="Times New Roman" w:hAnsi="Times New Roman" w:eastAsia="Times New Roman" w:cs="Times New Roman"/>
          <w:b w:val="0"/>
          <w:sz w:val="28"/>
        </w:rPr>
        <w:t>”</w:t>
      </w:r>
      <w:r>
        <w:rPr>
          <w:rFonts w:ascii="Times New Roman" w:hAnsi="Times New Roman" w:eastAsia="仿宋" w:cs="Times New Roman"/>
          <w:b w:val="0"/>
          <w:sz w:val="28"/>
        </w:rPr>
        <w:t>）2026年6月披露的收购报告书摘要，呈现了该路径的典型应用：以现金全额认购安阳钢铁股份有限公司（下称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安阳钢铁</w:t>
      </w:r>
      <w:r>
        <w:rPr>
          <w:rFonts w:ascii="Times New Roman" w:hAnsi="Times New Roman" w:eastAsia="Times New Roman" w:cs="Times New Roman"/>
          <w:b w:val="0"/>
          <w:sz w:val="28"/>
        </w:rPr>
        <w:t>”</w:t>
      </w:r>
      <w:r>
        <w:rPr>
          <w:rFonts w:ascii="Times New Roman" w:hAnsi="Times New Roman" w:eastAsia="仿宋" w:cs="Times New Roman"/>
          <w:b w:val="0"/>
          <w:sz w:val="28"/>
        </w:rPr>
        <w:t>，600569.SH）发行的不超过861,726,415股A股股票，使其持股比例由逾50%升至75.86%，为区域钢铁整合构筑更牢固的控制权架构，并直接向上市公司输送资本。</w:t>
      </w:r>
    </w:p>
    <w:p>
      <w:pPr>
        <w:spacing w:before="0" w:after="0" w:line="240" w:lineRule="auto" w:beforeLines="0" w:afterLines="0"/>
        <w:jc w:val="left"/>
        <w:ind w:firstLineChars="200"/>
      </w:pPr>
      <w:r>
        <w:rPr>
          <w:rFonts w:ascii="Times New Roman" w:hAnsi="Times New Roman" w:eastAsia="仿宋" w:cs="Times New Roman"/>
          <w:b/>
          <w:sz w:val="28"/>
        </w:rPr>
        <w:t>一、交易前夜：绝对控股地位与纵向产业棋局</w:t>
      </w:r>
    </w:p>
    <w:p>
      <w:pPr>
        <w:spacing w:before="0" w:after="0" w:line="240" w:lineRule="auto" w:beforeLines="0" w:afterLines="0"/>
        <w:jc w:val="both"/>
        <w:ind w:firstLineChars="200"/>
      </w:pPr>
      <w:r>
        <w:rPr>
          <w:rFonts w:ascii="Times New Roman" w:hAnsi="Times New Roman" w:eastAsia="仿宋" w:cs="Times New Roman"/>
          <w:b w:val="0"/>
          <w:sz w:val="28"/>
        </w:rPr>
        <w:t>安阳钢铁是上海证券交易所主板上市的钢铁企业，主营黑色金属冶炼和压延加工。本次定向增发前，安钢集团已持有其超过50%的股份，形成绝对控股。这一控股地位为此后增持操作预设了合规通道——《上市公司收购管理办法》第六十三条第一款第（五）项规定，持股达到或超过50%的投资者继续增持且不危害上市地位的，可免于发出要约。安钢集团自身定位为河南省属关键钢铁产业投资平台，除控股安阳钢铁外，还控制河南钢铁控股集团有限公司（黑色金属冶炼和压延加工业）、河南安钢集团舞阳矿业有限责任公司（铁矿采选）以及河南金数智能科技股份有限公司（仪器仪表制造与修理），纵跨从铁矿采选到冶炼加工乃至配套制造的核心环节。安阳钢铁作为体系内唯一上市公司，承载着对接资本市场的核心枢纽功能，安钢集团对其控制力的任何变动，都直接牵动后续资源归集与资本运作的可行性。</w:t>
      </w:r>
    </w:p>
    <w:p>
      <w:pPr>
        <w:spacing w:before="0" w:after="0" w:line="240" w:lineRule="auto" w:beforeLines="0" w:afterLines="0"/>
        <w:jc w:val="both"/>
        <w:ind w:firstLineChars="200"/>
      </w:pPr>
      <w:r>
        <w:rPr>
          <w:rFonts w:ascii="Times New Roman" w:hAnsi="Times New Roman" w:eastAsia="仿宋" w:cs="Times New Roman"/>
          <w:b w:val="0"/>
          <w:sz w:val="28"/>
        </w:rPr>
        <w:t>从产业坐标观察，国内钢铁行业正承受减量重组与环保升级的双重压力，各省国资背景钢企通过横向联合与纵向协同寻求成本优化与产能归集。安钢集团的控股股东河南钢铁集团有限公司（持有安钢集团72%股权）正是这一整合思路的产物，其本质是以产权纽带聚合省内钢铁资产，意图在区域市场形成更强的议价能力与产能弹性。在这一逻辑下，安钢集团提升安阳钢铁的持股比例，不仅是资本层面的操作，更是为后续统一的产能调配、原料采购协同及技改投资决策扫除治理障碍。</w:t>
      </w:r>
    </w:p>
    <w:p>
      <w:pPr>
        <w:spacing w:before="0" w:after="0" w:line="240" w:lineRule="auto" w:beforeLines="0" w:afterLines="0"/>
        <w:jc w:val="left"/>
        <w:ind w:firstLineChars="200"/>
      </w:pPr>
      <w:r>
        <w:rPr>
          <w:rFonts w:ascii="Times New Roman" w:hAnsi="Times New Roman" w:eastAsia="仿宋" w:cs="Times New Roman"/>
          <w:b/>
          <w:sz w:val="28"/>
        </w:rPr>
        <w:t>二、增发路径与豁免架构：一条最低摩擦的控制权强化通道</w:t>
      </w:r>
    </w:p>
    <w:p>
      <w:pPr>
        <w:spacing w:before="0" w:after="0" w:line="240" w:lineRule="auto" w:beforeLines="0" w:afterLines="0"/>
        <w:jc w:val="both"/>
        <w:ind w:firstLineChars="200"/>
      </w:pPr>
      <w:r>
        <w:rPr>
          <w:rFonts w:ascii="Times New Roman" w:hAnsi="Times New Roman" w:eastAsia="仿宋" w:cs="Times New Roman"/>
          <w:b w:val="0"/>
          <w:sz w:val="28"/>
        </w:rPr>
        <w:t>2026年6月，安阳钢铁公告向特定对象发行A股股票预案，安钢集团作为唯一发行对象，拟以现金认购全部股份，发行数量上限为861,726,415股。按这一规模计算，发行完成后安钢集团持股比例将从原有的超50%跃升至75.86%。交易对价方面，定价基准日、发行价格及募集资金总额等细节未在收购报告书摘要中披露，但全额现金认购的安排本身即锁定了募集资金的足额来源，且将全部权益增量集中于控股股东一身。</w:t>
      </w:r>
    </w:p>
    <w:p>
      <w:pPr>
        <w:spacing w:before="0" w:after="0" w:line="240" w:lineRule="auto" w:beforeLines="0" w:afterLines="0"/>
        <w:jc w:val="both"/>
        <w:ind w:firstLineChars="200"/>
      </w:pPr>
      <w:r>
        <w:rPr>
          <w:rFonts w:ascii="Times New Roman" w:hAnsi="Times New Roman" w:eastAsia="仿宋" w:cs="Times New Roman"/>
          <w:b w:val="0"/>
          <w:sz w:val="28"/>
        </w:rPr>
        <w:t>本次收购合规架构的支柱是援引《上市公司收购管理办法》第六十三条第一款第（五）项的免于要约规则。安钢集团原持股已远超50%门槛，且以发行数量上限测算，发行后社会公众股东持股比例仍达24.14%，完全满足</w:t>
      </w:r>
      <w:r>
        <w:rPr>
          <w:rFonts w:ascii="Times New Roman" w:hAnsi="Times New Roman" w:eastAsia="Times New Roman" w:cs="Times New Roman"/>
          <w:b w:val="0"/>
          <w:sz w:val="28"/>
        </w:rPr>
        <w:t>“</w:t>
      </w:r>
      <w:r>
        <w:rPr>
          <w:rFonts w:ascii="Times New Roman" w:hAnsi="Times New Roman" w:eastAsia="仿宋" w:cs="Times New Roman"/>
          <w:b w:val="0"/>
          <w:sz w:val="28"/>
        </w:rPr>
        <w:t>维持上市地位</w:t>
      </w:r>
      <w:r>
        <w:rPr>
          <w:rFonts w:ascii="Times New Roman" w:hAnsi="Times New Roman" w:eastAsia="Times New Roman" w:cs="Times New Roman"/>
          <w:b w:val="0"/>
          <w:sz w:val="28"/>
        </w:rPr>
        <w:t>”</w:t>
      </w:r>
      <w:r>
        <w:rPr>
          <w:rFonts w:ascii="Times New Roman" w:hAnsi="Times New Roman" w:eastAsia="仿宋" w:cs="Times New Roman"/>
          <w:b w:val="0"/>
          <w:sz w:val="28"/>
        </w:rPr>
        <w:t>的法定底限。据此，免于向全体股东发出全面要约收购。这一路径比传统要约收购大幅节省了聘请独立财务顾问、编制要约报告书及面对二级市场博弈的时间与资金成本，将控制权集中的程序摩擦降至最低。需要注意的是，豁免适用并非自动生效，仍需向中国证监会提交申请并受其审核，但审核重心落在发行合规性而非要约义务上。</w:t>
      </w:r>
    </w:p>
    <w:p>
      <w:pPr>
        <w:spacing w:before="0" w:after="0" w:line="240" w:lineRule="auto" w:beforeLines="0" w:afterLines="0"/>
        <w:jc w:val="both"/>
        <w:ind w:firstLineChars="200"/>
      </w:pPr>
      <w:r>
        <w:rPr>
          <w:rFonts w:ascii="Times New Roman" w:hAnsi="Times New Roman" w:eastAsia="仿宋" w:cs="Times New Roman"/>
          <w:b w:val="0"/>
          <w:sz w:val="28"/>
        </w:rPr>
        <w:t>关于收购动机，公开资料未单独披露安钢集团或安阳钢铁的主观目的。但从已披露条款可以客观判断：一方面，上市公司主动发起定向增发募集资金，直接动机是优化资本结构、降低资产负债率，补充营运资金或为后续技术改造蓄力；另一方面，安钢集团以现金全额认购，既表明其对安阳钢铁长期发展的信心，也借此将控股比例推上逾3/4的绝对安全线，直触修改公司章程、重大资产重组等特别决议事项的控制边界。主动发起方是上市公司，但推动力量显然来自控股股东与董事会达成的共识。</w:t>
      </w:r>
    </w:p>
    <w:p>
      <w:pPr>
        <w:spacing w:before="0" w:after="0" w:line="240" w:lineRule="auto" w:beforeLines="0" w:afterLines="0"/>
        <w:jc w:val="left"/>
        <w:ind w:firstLineChars="200"/>
      </w:pPr>
      <w:r>
        <w:rPr>
          <w:rFonts w:ascii="Times New Roman" w:hAnsi="Times New Roman" w:eastAsia="仿宋" w:cs="Times New Roman"/>
          <w:b/>
          <w:sz w:val="28"/>
        </w:rPr>
        <w:t>三、安钢集团资产厚度与增资的资产负债表效应</w:t>
      </w:r>
    </w:p>
    <w:p>
      <w:pPr>
        <w:spacing w:before="0" w:after="0" w:line="240" w:lineRule="auto" w:beforeLines="0" w:afterLines="0"/>
        <w:jc w:val="both"/>
        <w:ind w:firstLineChars="200"/>
      </w:pPr>
      <w:r>
        <w:rPr>
          <w:rFonts w:ascii="Times New Roman" w:hAnsi="Times New Roman" w:eastAsia="仿宋" w:cs="Times New Roman"/>
          <w:b w:val="0"/>
          <w:sz w:val="28"/>
        </w:rPr>
        <w:t>安钢集团近三年的资产规模印证了其全额现金认购的可行性。收购报告书摘要显示，安钢集团2025年末合并资产总计达6,013,405.00万元，即便2023年末与2024年末数据未完整公开，该体量已足以说明其具备动用自有资金或撬动债务融资完成认购的实力。在钢铁行业下行周期中维持600亿以上资产规模，意味着其可动用资源足以支撑本次增发所需现金支出，不会对集团整体流动性造成过大压力。</w:t>
      </w:r>
    </w:p>
    <w:p>
      <w:pPr>
        <w:spacing w:before="0" w:after="0" w:line="240" w:lineRule="auto" w:beforeLines="0" w:afterLines="0"/>
        <w:jc w:val="both"/>
        <w:ind w:firstLineChars="200"/>
      </w:pPr>
      <w:r>
        <w:rPr>
          <w:rFonts w:ascii="Times New Roman" w:hAnsi="Times New Roman" w:eastAsia="仿宋" w:cs="Times New Roman"/>
          <w:b w:val="0"/>
          <w:sz w:val="28"/>
        </w:rPr>
        <w:t>对于安阳钢铁而言，定向增发所募集的现金将直接进入资产负债表，在总资产扩张的同时降低资产负债率。重资产钢铁企业普遍依赖债务融资，资产负债率常高于70%，本次增资相当于控股股东以股本形式向上市公司输送低成本资金，置换出等额的高息债务，从而减轻财务费用负担，增强抗周期风险能力。此外，资本结构的优化也将改善银行授信与债券融资条件，为公司应对环保改造或产能置换预留空间。遗憾的是，收购报告书摘要仅提供了收购人财务概况，未披露安阳钢铁的负债率、收入及利润数据，因此无法精确量化增资的杠杆修复效果，但交易结构本身已清晰地指认出这一财务逻辑。</w:t>
      </w:r>
    </w:p>
    <w:p>
      <w:pPr>
        <w:spacing w:before="0" w:after="0" w:line="240" w:lineRule="auto" w:beforeLines="0" w:afterLines="0"/>
        <w:jc w:val="left"/>
        <w:ind w:firstLineChars="200"/>
      </w:pPr>
      <w:r>
        <w:rPr>
          <w:rFonts w:ascii="Times New Roman" w:hAnsi="Times New Roman" w:eastAsia="仿宋" w:cs="Times New Roman"/>
          <w:b/>
          <w:sz w:val="28"/>
        </w:rPr>
        <w:t>四、治理边界重塑：75.86%持股下的控制权与独立性平衡</w:t>
      </w:r>
    </w:p>
    <w:p>
      <w:pPr>
        <w:spacing w:before="0" w:after="0" w:line="240" w:lineRule="auto" w:beforeLines="0" w:afterLines="0"/>
        <w:jc w:val="both"/>
        <w:ind w:firstLineChars="200"/>
      </w:pPr>
      <w:r>
        <w:rPr>
          <w:rFonts w:ascii="Times New Roman" w:hAnsi="Times New Roman" w:eastAsia="仿宋" w:cs="Times New Roman"/>
          <w:b w:val="0"/>
          <w:sz w:val="28"/>
        </w:rPr>
        <w:t>发行后安钢集团持股升至75.86%，在股东大会上将形成压倒性表决权，不仅普通决议事项游刃有余，对修改章程、增减注册资本、合并分立等需2/3以上特别多数的事项也完全掌控。这为安钢集团未来主导安阳钢铁的战略转型，如资产注入、业务板块分拆或重大资本支出，提供了坚实的表决基础。但控制权集中的另一面是上市公司独立性的挑战。安阳钢铁仍需遵守《上海证券交易所股票上市规则》关于人员、资产、财务、机构、业务独立的要求，关联交易的审议与披露义务并不因控股比例提高而减轻。安钢集团在收购报告书中承诺不影响上市公司上市地位，未来在实践中须防范资金占用、非公允关联担保等常见治理风险，在集团管控与上市公司自治之间找到平衡。</w:t>
      </w:r>
    </w:p>
    <w:p>
      <w:pPr>
        <w:spacing w:before="0" w:after="0" w:line="240" w:lineRule="auto" w:beforeLines="0" w:afterLines="0"/>
        <w:jc w:val="both"/>
        <w:ind w:firstLineChars="200"/>
      </w:pPr>
      <w:r>
        <w:rPr>
          <w:rFonts w:ascii="Times New Roman" w:hAnsi="Times New Roman" w:eastAsia="仿宋" w:cs="Times New Roman"/>
          <w:b w:val="0"/>
          <w:sz w:val="28"/>
        </w:rPr>
        <w:t>从产权架构看，河南钢铁集团—安钢集团—安阳钢铁的三层结构下，安阳钢铁既是独立上市主体，又是集团产业体系的资本出口。持股比例的大幅提升可能加速将上游铁矿采选（舞阳矿业）、智能制造（金数智能）等关联资产纳入上市公司平台或与之更紧密协作，但这需要严格履行关联交易审批程序并维护中小股东利益。治理边界的清晰化，将成为安阳钢铁长期价值能否稳固释放的关键变量。</w:t>
      </w:r>
    </w:p>
    <w:p>
      <w:pPr>
        <w:spacing w:before="0" w:after="0" w:line="240" w:lineRule="auto" w:beforeLines="0" w:afterLines="0"/>
        <w:jc w:val="left"/>
        <w:ind w:firstLineChars="200"/>
      </w:pPr>
      <w:r>
        <w:rPr>
          <w:rFonts w:ascii="Times New Roman" w:hAnsi="Times New Roman" w:eastAsia="仿宋" w:cs="Times New Roman"/>
          <w:b/>
          <w:sz w:val="28"/>
        </w:rPr>
        <w:t>五、钢铁国资整合浪潮中的操作范本：产业、结构与工具的三角突破</w:t>
      </w:r>
    </w:p>
    <w:p>
      <w:pPr>
        <w:spacing w:before="0" w:after="0" w:line="240" w:lineRule="auto" w:beforeLines="0" w:afterLines="0"/>
        <w:jc w:val="both"/>
        <w:ind w:firstLineChars="200"/>
      </w:pPr>
      <w:r>
        <w:rPr>
          <w:rFonts w:ascii="Times New Roman" w:hAnsi="Times New Roman" w:eastAsia="仿宋" w:cs="Times New Roman"/>
          <w:b w:val="0"/>
          <w:sz w:val="28"/>
        </w:rPr>
        <w:t>产业判断层面，当前国内钢铁行业整合已从中央企业的全国性拉开帷幕，向省域层面纵深展开。河南省内以河南钢铁集团为龙头的资产归集路径已清晰可见，安钢集团增持安阳钢铁正是该整合在上市公司控制权维度上的关键落子。提升核心上市平台的控制力，意味着资产注入、产能划转、采购与销售渠道的打通将具备更统一的决策基础，从而降低内部协调成本，实现区域钢铁资产的规模化与集约化。本案发生在这一特定产业时点，本身即是判断区域钢铁国资整合从纸面走向执行的可观察信号。</w:t>
      </w:r>
    </w:p>
    <w:p>
      <w:pPr>
        <w:spacing w:before="0" w:after="0" w:line="240" w:lineRule="auto" w:beforeLines="0" w:afterLines="0"/>
        <w:jc w:val="both"/>
        <w:ind w:firstLineChars="200"/>
      </w:pPr>
      <w:r>
        <w:rPr>
          <w:rFonts w:ascii="Times New Roman" w:hAnsi="Times New Roman" w:eastAsia="仿宋" w:cs="Times New Roman"/>
          <w:b w:val="0"/>
          <w:sz w:val="28"/>
        </w:rPr>
        <w:t>交易结构分析则指向定向增发与免于要约组合的独特效率。相较于二级市场逐步增持，一次性定向发行避免了对股价的持续扰动和内幕交易嫌疑；相较于协议转让股权，资金直接注入上市公司而非流向出售方，更符合产业的长期资本诉求；而豁免全面要约的适用，将控制权集中的程序成本压缩至极限。此三者叠加，形成了一条清晰的控制权强化路径：持股已超50%的控股股东，通过主动配合上市公司发起定向增发，以现金全额认购，即可在单一交易步骤内将持股推升至75%以上，同时锁定公众持股的红线，不触发要约义务。</w:t>
      </w:r>
    </w:p>
    <w:p>
      <w:pPr>
        <w:spacing w:before="0" w:after="0" w:line="240" w:lineRule="auto" w:beforeLines="0" w:afterLines="0"/>
        <w:jc w:val="both"/>
        <w:ind w:firstLineChars="200"/>
      </w:pPr>
      <w:r>
        <w:rPr>
          <w:rFonts w:ascii="Times New Roman" w:hAnsi="Times New Roman" w:eastAsia="仿宋" w:cs="Times New Roman"/>
          <w:b w:val="0"/>
          <w:sz w:val="28"/>
        </w:rPr>
        <w:t>并购方法论意义由此浮现。这一模式的可复制性取决于两项前置条件：一是控股股东已牢固持有50%以上表决权，二是增发规模须精确计算以确保发行后社会公众股比例不低于10%。对于持股低于50%的相对控股方，无法直接援引该项豁免，仍需依赖部分要约或协议转让等工具。但在绝对控股前提下，本案提供的范本为国有产业集团和部分家族控股主体展示了一口价强化控制权并同步补充资本的操作模板，其核心启示在于：控制权巩固的优选工具往往隐藏在法律豁免条款的边界之内，能否精准捕捉并运用这些边界，决定了交易摩擦的高低。</w:t>
      </w:r>
    </w:p>
    <w:p>
      <w:pPr>
        <w:spacing w:before="0" w:after="0" w:line="240" w:lineRule="auto" w:beforeLines="0" w:afterLines="0"/>
        <w:jc w:val="left"/>
        <w:ind w:firstLineChars="200"/>
      </w:pPr>
      <w:r>
        <w:rPr>
          <w:rFonts w:ascii="Times New Roman" w:hAnsi="Times New Roman" w:eastAsia="仿宋" w:cs="Times New Roman"/>
          <w:b/>
          <w:sz w:val="28"/>
        </w:rPr>
        <w:t>六、结语：免于要约不止是豁免，而是一套控制权与资本的组合方程</w:t>
      </w:r>
    </w:p>
    <w:p>
      <w:pPr>
        <w:spacing w:before="0" w:after="0" w:line="240" w:lineRule="auto" w:beforeLines="0" w:afterLines="0"/>
        <w:jc w:val="both"/>
        <w:ind w:firstLineChars="200"/>
      </w:pPr>
      <w:r>
        <w:rPr>
          <w:rFonts w:ascii="Times New Roman" w:hAnsi="Times New Roman" w:eastAsia="仿宋" w:cs="Times New Roman"/>
          <w:b w:val="0"/>
          <w:sz w:val="28"/>
        </w:rPr>
        <w:t>安钢集团全额认购安阳钢铁定向增发一案，以简洁的交易结构和直接的法律适用，完成了一次教科书式的控股权巩固。从逾50%持股一跃至75.86%，所依托的不是繁琐的要约收写程序，而是基于《上市公司收购管理办法》第五项豁免的精确测算与合规落地。同时，现金全额认购将资金灌入上市公司资产负债表，实现了控制权与资本结构的双重优化。在区域钢铁国资加速整合的宏大叙事下，这笔交易为安钢集团后续可能推进的资产划转、产能复置与纵向协同打开了治理空间。</w:t>
      </w:r>
    </w:p>
    <w:p>
      <w:pPr>
        <w:spacing w:before="0" w:after="0" w:line="240" w:lineRule="auto" w:beforeLines="0" w:afterLines="0"/>
        <w:jc w:val="both"/>
        <w:ind w:firstLineChars="200"/>
      </w:pPr>
      <w:r>
        <w:rPr>
          <w:rFonts w:ascii="Times New Roman" w:hAnsi="Times New Roman" w:eastAsia="仿宋" w:cs="Times New Roman"/>
          <w:b w:val="0"/>
          <w:sz w:val="28"/>
        </w:rPr>
        <w:t>本案最具参照价值的方法论在于，它把</w:t>
      </w:r>
      <w:r>
        <w:rPr>
          <w:rFonts w:ascii="Times New Roman" w:hAnsi="Times New Roman" w:eastAsia="Times New Roman" w:cs="Times New Roman"/>
          <w:b w:val="0"/>
          <w:sz w:val="28"/>
        </w:rPr>
        <w:t>“</w:t>
      </w:r>
      <w:r>
        <w:rPr>
          <w:rFonts w:ascii="Times New Roman" w:hAnsi="Times New Roman" w:eastAsia="仿宋" w:cs="Times New Roman"/>
          <w:b w:val="0"/>
          <w:sz w:val="28"/>
        </w:rPr>
        <w:t>免于要约</w:t>
      </w:r>
      <w:r>
        <w:rPr>
          <w:rFonts w:ascii="Times New Roman" w:hAnsi="Times New Roman" w:eastAsia="Times New Roman" w:cs="Times New Roman"/>
          <w:b w:val="0"/>
          <w:sz w:val="28"/>
        </w:rPr>
        <w:t>”</w:t>
      </w:r>
      <w:r>
        <w:rPr>
          <w:rFonts w:ascii="Times New Roman" w:hAnsi="Times New Roman" w:eastAsia="仿宋" w:cs="Times New Roman"/>
          <w:b w:val="0"/>
          <w:sz w:val="28"/>
        </w:rPr>
        <w:t>这一通常被视为程序减免的条款，上升为控制权集中的主动设计工具：控股股东不再是被动等待持股缓慢上升，而是通过联动上市公司定向增发，主动将持股推升到新的安全高度，并同时完成注资。但这一设计的成立，高度依赖既有的绝对控股地位以及对发行后公众持股比例的精确推算。缺乏这两项基础，模仿者或将触发全面要约义务或丧失上市地位。因此，该交易不仅为省域钢铁及同类重资产集团的资本运作提供了经过检验的模板，更提醒市场参与者：并购工具的威力，在于对规则边界的精准解读与使用。</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