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4.26元的控制权：逐越鸿智部分要约收购嘉美包装案例解析</w:t>
      </w:r>
    </w:p>
    <w:p>
      <w:pPr>
        <w:spacing w:before="0" w:after="0" w:line="240" w:lineRule="auto" w:beforeLines="0" w:afterLines="0"/>
        <w:jc w:val="both"/>
        <w:ind w:firstLineChars="200"/>
      </w:pPr>
      <w:r>
        <w:rPr>
          <w:rFonts w:ascii="Times New Roman" w:hAnsi="Times New Roman" w:eastAsia="仿宋" w:cs="Times New Roman"/>
          <w:b w:val="0"/>
          <w:sz w:val="28"/>
        </w:rPr>
        <w:t>2026年6月5日，苏州逐越鸿智科技发展合伙企业（有限合伙）（以下简称</w:t>
      </w:r>
      <w:r>
        <w:rPr>
          <w:rFonts w:ascii="Times New Roman" w:hAnsi="Times New Roman" w:eastAsia="Times New Roman" w:cs="Times New Roman"/>
          <w:b w:val="0"/>
          <w:sz w:val="28"/>
        </w:rPr>
        <w:t>“</w:t>
      </w:r>
      <w:r>
        <w:rPr>
          <w:rFonts w:ascii="Times New Roman" w:hAnsi="Times New Roman" w:eastAsia="仿宋" w:cs="Times New Roman"/>
          <w:b w:val="0"/>
          <w:sz w:val="28"/>
        </w:rPr>
        <w:t>逐越鸿智</w:t>
      </w:r>
      <w:r>
        <w:rPr>
          <w:rFonts w:ascii="Times New Roman" w:hAnsi="Times New Roman" w:eastAsia="Times New Roman" w:cs="Times New Roman"/>
          <w:b w:val="0"/>
          <w:sz w:val="28"/>
        </w:rPr>
        <w:t>”</w:t>
      </w:r>
      <w:r>
        <w:rPr>
          <w:rFonts w:ascii="Times New Roman" w:hAnsi="Times New Roman" w:eastAsia="仿宋" w:cs="Times New Roman"/>
          <w:b w:val="0"/>
          <w:sz w:val="28"/>
        </w:rPr>
        <w:t>）公告完成对嘉美食品包装（滁州）股份有限公司（证券简称</w:t>
      </w:r>
      <w:r>
        <w:rPr>
          <w:rFonts w:ascii="Times New Roman" w:hAnsi="Times New Roman" w:eastAsia="Times New Roman" w:cs="Times New Roman"/>
          <w:b w:val="0"/>
          <w:sz w:val="28"/>
        </w:rPr>
        <w:t>“</w:t>
      </w:r>
      <w:r>
        <w:rPr>
          <w:rFonts w:ascii="Times New Roman" w:hAnsi="Times New Roman" w:eastAsia="仿宋" w:cs="Times New Roman"/>
          <w:b w:val="0"/>
          <w:sz w:val="28"/>
        </w:rPr>
        <w:t>嘉美包装</w:t>
      </w:r>
      <w:r>
        <w:rPr>
          <w:rFonts w:ascii="Times New Roman" w:hAnsi="Times New Roman" w:eastAsia="Times New Roman" w:cs="Times New Roman"/>
          <w:b w:val="0"/>
          <w:sz w:val="28"/>
        </w:rPr>
        <w:t>”</w:t>
      </w:r>
      <w:r>
        <w:rPr>
          <w:rFonts w:ascii="Times New Roman" w:hAnsi="Times New Roman" w:eastAsia="仿宋" w:cs="Times New Roman"/>
          <w:b w:val="0"/>
          <w:sz w:val="28"/>
        </w:rPr>
        <w:t>，证券代码：002969）的部分要约收购。本次要约收购预定收购233,491,406股，最终实际收购215,206,172股，占上市公司总股本的19.59%，占预定要约股份数量的92.59%。要约价格为4.26元/股，收购完成后逐越鸿智共计持有494,461,894股，持股比例从要约前的21.26%升至45.01%，确立控股股东地位。本案例基于公开披露信息，梳理交易结构，解析该部分要约收购的定价、比例设计与控股逻辑。</w:t>
      </w:r>
    </w:p>
    <w:p>
      <w:pPr>
        <w:spacing w:before="0" w:after="0" w:line="240" w:lineRule="auto" w:beforeLines="0" w:afterLines="0"/>
        <w:jc w:val="left"/>
        <w:ind w:firstLineChars="200"/>
      </w:pPr>
      <w:r>
        <w:rPr>
          <w:rFonts w:ascii="Times New Roman" w:hAnsi="Times New Roman" w:eastAsia="仿宋" w:cs="Times New Roman"/>
          <w:b/>
          <w:sz w:val="28"/>
        </w:rPr>
        <w:t>一、收购前持股格局与要约决策背景</w:t>
      </w:r>
    </w:p>
    <w:p>
      <w:pPr>
        <w:spacing w:before="0" w:after="0" w:line="240" w:lineRule="auto" w:beforeLines="0" w:afterLines="0"/>
        <w:jc w:val="both"/>
        <w:ind w:firstLineChars="200"/>
      </w:pPr>
      <w:r>
        <w:rPr>
          <w:rFonts w:ascii="Times New Roman" w:hAnsi="Times New Roman" w:eastAsia="仿宋" w:cs="Times New Roman"/>
          <w:b w:val="0"/>
          <w:sz w:val="28"/>
        </w:rPr>
        <w:t>根据要约收购报告书签署日数据，逐越鸿智已持有嘉美包装279,255,722股，占剔除回购专用账户后公司股份总数的21.26%。嘉美包装的股权结构较为分散，公告未披露前十大股东明细，但参照21.26%已然成为第一大股东的情形，其余股东持股比例应均低于该数额，公司处于无实际控制人状态。逐越鸿智以有限合伙企业形式作为持股主体，其产业背景与收购的真实动机公开资料中未予披露。仅从公告信息推断，买方可能基于对食品包装行业长期价值的判断，以及上市平台再融资、品牌背书等综合价值，决定扩大持股。选择部分要约而非协议转让或二级市场持续增持，或出于以下考量：一是股权分散格局下难以通过单一协议受让获得足量股份；二是二级市场持续增持易推高股价、成本不可控，且超过20%后每增持5%均需履行信息披露义务，进程冗长；三是部分要约可一次性锁定目标比例，若设计得当，能以相对确定的成本直取控股地位。</w:t>
      </w:r>
    </w:p>
    <w:p>
      <w:pPr>
        <w:spacing w:before="0" w:after="0" w:line="240" w:lineRule="auto" w:beforeLines="0" w:afterLines="0"/>
        <w:jc w:val="both"/>
        <w:ind w:firstLineChars="200"/>
      </w:pPr>
      <w:r>
        <w:rPr>
          <w:rFonts w:ascii="Times New Roman" w:hAnsi="Times New Roman" w:eastAsia="仿宋" w:cs="Times New Roman"/>
          <w:b w:val="0"/>
          <w:sz w:val="28"/>
        </w:rPr>
        <w:t>从产业视角看，嘉美包装主营食品饮料金属包装、易拉罐等产品，处于包装行业的中游，客户集中于大型食品饮料企业。公开研究显示，国内金属包装行业集中度逐步提升，龙头企业凭借产能布局和客户粘性构筑竞争壁垒。嘉美包装作为上市公司，拥有产能、品质及融资优势，对于意图介入或整合包装产业的资本具有吸引力。但公开资料未披露逐越鸿智的产业背景、是否与包装行业存在关联或计划注入资产，因此产业协同逻辑仅能作一般性判断，无法基于本案事实给出确切判断。</w:t>
      </w:r>
    </w:p>
    <w:p>
      <w:pPr>
        <w:spacing w:before="0" w:after="0" w:line="240" w:lineRule="auto" w:beforeLines="0" w:afterLines="0"/>
        <w:jc w:val="both"/>
        <w:ind w:firstLineChars="200"/>
      </w:pPr>
      <w:r>
        <w:rPr>
          <w:rFonts w:ascii="Times New Roman" w:hAnsi="Times New Roman" w:eastAsia="仿宋" w:cs="Times New Roman"/>
          <w:b w:val="0"/>
          <w:sz w:val="28"/>
        </w:rPr>
        <w:t>收购方的直接逻辑是取得控制权。在要约收购报告书中，逐越鸿智明确表示</w:t>
      </w:r>
      <w:r>
        <w:rPr>
          <w:rFonts w:ascii="Times New Roman" w:hAnsi="Times New Roman" w:eastAsia="Times New Roman" w:cs="Times New Roman"/>
          <w:b w:val="0"/>
          <w:sz w:val="28"/>
        </w:rPr>
        <w:t>“</w:t>
      </w:r>
      <w:r>
        <w:rPr>
          <w:rFonts w:ascii="Times New Roman" w:hAnsi="Times New Roman" w:eastAsia="仿宋" w:cs="Times New Roman"/>
          <w:b w:val="0"/>
          <w:sz w:val="28"/>
        </w:rPr>
        <w:t>本次要约收购旨在提升持股比例，取得上市公司控制权</w:t>
      </w:r>
      <w:r>
        <w:rPr>
          <w:rFonts w:ascii="Times New Roman" w:hAnsi="Times New Roman" w:eastAsia="Times New Roman" w:cs="Times New Roman"/>
          <w:b w:val="0"/>
          <w:sz w:val="28"/>
        </w:rPr>
        <w:t>”</w:t>
      </w:r>
      <w:r>
        <w:rPr>
          <w:rFonts w:ascii="Times New Roman" w:hAnsi="Times New Roman" w:eastAsia="仿宋" w:cs="Times New Roman"/>
          <w:b w:val="0"/>
          <w:sz w:val="28"/>
        </w:rPr>
        <w:t>。收购完成后持股45.01%，在股权分散情形下足以主导股东大会普通决议事项，并可对董事会构成施加决定性影响。该持股水平虽未达到三分之二绝对控制线，但已远超其他股东，而且在后续治理中，通过持续的一致行动安排或增持，可进一步加固控制。收购方通过一次要约将持股提升至45.01%，既实现了控制目的，又未触发全面要约的强制性退市风险，体现了对法规边界和持股比例的精准计算。</w:t>
      </w:r>
    </w:p>
    <w:p>
      <w:pPr>
        <w:spacing w:before="0" w:after="0" w:line="240" w:lineRule="auto" w:beforeLines="0" w:afterLines="0"/>
        <w:jc w:val="left"/>
        <w:ind w:firstLineChars="200"/>
      </w:pPr>
      <w:r>
        <w:rPr>
          <w:rFonts w:ascii="Times New Roman" w:hAnsi="Times New Roman" w:eastAsia="仿宋" w:cs="Times New Roman"/>
          <w:b/>
          <w:sz w:val="28"/>
        </w:rPr>
        <w:t>二、要约定价与比例设计：交易结构与条款解析</w:t>
      </w:r>
    </w:p>
    <w:p>
      <w:pPr>
        <w:spacing w:before="0" w:after="0" w:line="240" w:lineRule="auto" w:beforeLines="0" w:afterLines="0"/>
        <w:jc w:val="both"/>
        <w:ind w:firstLineChars="200"/>
      </w:pPr>
      <w:r>
        <w:rPr>
          <w:rFonts w:ascii="Times New Roman" w:hAnsi="Times New Roman" w:eastAsia="仿宋" w:cs="Times New Roman"/>
          <w:b w:val="0"/>
          <w:sz w:val="28"/>
        </w:rPr>
        <w:t>本次部分要约收购的核心条款集中于两方面：要约价格与预定比例。要约价格定为4.26元/股，要约收购报告书未披露该价格的定价基础及与市价的关系。现行《上市公司收购管理办法》要求，要约收购价格不得低于要约收购提示性公告日前30个交易日内该种股票的每日加权平均价格的算术平均值，但公告并未给出这一基准价格，故无法计算溢价或折价水平。仅从结果反向观察：最终超过92%的预定股份被接受，表明4.26元/股的定价对持股股东产生了较强吸引力，很可能相对于近期市场交易均价存在适度溢价。若价格缺乏吸引力，在股权分散的格局下，中小股东完全可以选择拒绝，导致要约失败或未达预定目标。</w:t>
      </w:r>
    </w:p>
    <w:p>
      <w:pPr>
        <w:spacing w:before="0" w:after="0" w:line="240" w:lineRule="auto" w:beforeLines="0" w:afterLines="0"/>
        <w:jc w:val="both"/>
        <w:ind w:firstLineChars="200"/>
      </w:pPr>
      <w:r>
        <w:rPr>
          <w:rFonts w:ascii="Times New Roman" w:hAnsi="Times New Roman" w:eastAsia="仿宋" w:cs="Times New Roman"/>
          <w:b w:val="0"/>
          <w:sz w:val="28"/>
        </w:rPr>
        <w:t>预定要约收购股份数量为233,491,406股，占剔除回购账户后总股本的25.00%。这一比例设计极为关键。逐越鸿智原有持股21.26%，若按计划全额收购，将持有46.26%，无论从控制力还是后续增持空间看，都是安全且经济的控股权比例。实际收购215,206,172股，未达预定上限，主要系部分股东未在要约期内预受或所持股份存在权利限制，但90%以上的接受率已充分保障了控股目标的实现：最终持股45.01%，仍大幅超越其他股东。设计25%要约比例而不是更高，至少有三点考量：一是控制权目标，21.26%加25%越过40%门槛，足以在多数股东出席的股东大会上主导表决；二是维持上市地位，上市公司需保持25%（或10%若股本超4亿）的公众持股，发出25%要约后即使全额收购，总持股46.26%，公众股仍可在53.74%左右，距离退市红线留有安全垫；三是成本控制，要约收购需全额支付现金，预订比例过高将加重资金压力。本案中，按实际收购股份计算，逐越鸿智需支付约4.26元/股×215,206,172股≈917,078,293元，资金来源公告未予披露，但通过限定要约规模，收购方将支付金额控制在了可预期范围内。</w:t>
      </w:r>
    </w:p>
    <w:p>
      <w:pPr>
        <w:spacing w:before="0" w:after="0" w:line="240" w:lineRule="auto" w:beforeLines="0" w:afterLines="0"/>
        <w:jc w:val="both"/>
        <w:ind w:firstLineChars="200"/>
      </w:pPr>
      <w:r>
        <w:rPr>
          <w:rFonts w:ascii="Times New Roman" w:hAnsi="Times New Roman" w:eastAsia="仿宋" w:cs="Times New Roman"/>
          <w:b w:val="0"/>
          <w:sz w:val="28"/>
        </w:rPr>
        <w:t>交易条款方面，本次要约收购面向除逐越鸿智自身外的全体股东，所有接受要约的股东可获得相同的现金对价，未设有差异化的条件或优先权，体现了公平对待原则。要约期限设定为2026年4月30日至5月29日，恰好30个自然日，符合法定最短期限，不设延长，节奏紧凑。过户手续于6月5日完成，距要约期满仅一周，执行效率较高。整个交易流程未附加任何业绩承诺、融资安排或资产注入承诺，是一次以现金为对价的纯粹股权收购，交易结构清晰。</w:t>
      </w:r>
    </w:p>
    <w:p>
      <w:pPr>
        <w:spacing w:before="0" w:after="0" w:line="240" w:lineRule="auto" w:beforeLines="0" w:afterLines="0"/>
        <w:jc w:val="both"/>
        <w:ind w:firstLineChars="200"/>
      </w:pPr>
      <w:r>
        <w:rPr>
          <w:rFonts w:ascii="Times New Roman" w:hAnsi="Times New Roman" w:eastAsia="仿宋" w:cs="Times New Roman"/>
          <w:b w:val="0"/>
          <w:sz w:val="28"/>
        </w:rPr>
        <w:t>最后，定价与比例的组合透露出收购对博弈结果的预估。若定价偏高，虽可能提高接受率但增加成本；若定价偏低，则面临要约失败风险。本案以92.59%的接受率实现预定目标的92%以上，证明定价与比例的设计实现了均衡。唯一的小遗憾是未收满预定股份，但鉴于控制权已稳固，这反而减少了约1.83%的现金支出，于收购方而言不失为有利结果。</w:t>
      </w:r>
    </w:p>
    <w:p>
      <w:pPr>
        <w:spacing w:before="0" w:after="0" w:line="240" w:lineRule="auto" w:beforeLines="0" w:afterLines="0"/>
        <w:jc w:val="left"/>
        <w:ind w:firstLineChars="200"/>
      </w:pPr>
      <w:r>
        <w:rPr>
          <w:rFonts w:ascii="Times New Roman" w:hAnsi="Times New Roman" w:eastAsia="仿宋" w:cs="Times New Roman"/>
          <w:b/>
          <w:sz w:val="28"/>
        </w:rPr>
        <w:t>三、股东接受行为的量化分析：36户与92.59%背后的逻辑</w:t>
      </w:r>
    </w:p>
    <w:p>
      <w:pPr>
        <w:spacing w:before="0" w:after="0" w:line="240" w:lineRule="auto" w:beforeLines="0" w:afterLines="0"/>
        <w:jc w:val="both"/>
        <w:ind w:firstLineChars="200"/>
      </w:pPr>
      <w:r>
        <w:rPr>
          <w:rFonts w:ascii="Times New Roman" w:hAnsi="Times New Roman" w:eastAsia="仿宋" w:cs="Times New Roman"/>
          <w:b w:val="0"/>
          <w:sz w:val="28"/>
        </w:rPr>
        <w:t>中国证券登记结算有限责任公司深圳分公司提供的数据显示，本次要约收购期限届满时，预受要约的股东账户总数为36户，预受要约股份合计215,206,172股，占预定要约股份数量的92.59%。低于100%的接受率源于少数股东未按时预受或所持股份存在质押、冻结等权利限制，公告未进一步说明未预受股东的构成。</w:t>
      </w:r>
    </w:p>
    <w:p>
      <w:pPr>
        <w:spacing w:before="0" w:after="0" w:line="240" w:lineRule="auto" w:beforeLines="0" w:afterLines="0"/>
        <w:jc w:val="both"/>
        <w:ind w:firstLineChars="200"/>
      </w:pPr>
      <w:r>
        <w:rPr>
          <w:rFonts w:ascii="Times New Roman" w:hAnsi="Times New Roman" w:eastAsia="仿宋" w:cs="Times New Roman"/>
          <w:b w:val="0"/>
          <w:sz w:val="28"/>
        </w:rPr>
        <w:t>从户均预受股份看，215,206,172股÷36户≈5,977,949股，即使考虑逐户间分布不均，也足以表明预受主体以大中户为主，散户参与度相对有限。这在一定程度上印证了要约信息的有效传递以及机构投资者对定价的认可。同时，预受股份占上市公司总股本的19.59%，结合要约前逐越鸿智自身的21.26%，合计45.01%，可以推算：除去逐越鸿智，其他全部股东共持有约78.74%的股份，其中仅19.59%在要约中出售，意味着约59.15%的股份持有者（包括其他前几大股东）并未接受要约。可能的原因有：这部分股东信任当前管理层的经营能力，或预期公司股价在要约后存在上涨空间，或本身即为长期持股的战略投资者。值得注意的是，若这部分股东中包括原控股股东或一致行动人，而他们未大量出售，则预示着控制权的转移可能在友好的氛围下进行。但公开信息未说明要约前公司是否存在实际控制人及其持股情况，所以无法确认。</w:t>
      </w:r>
    </w:p>
    <w:p>
      <w:pPr>
        <w:spacing w:before="0" w:after="0" w:line="240" w:lineRule="auto" w:beforeLines="0" w:afterLines="0"/>
        <w:jc w:val="both"/>
        <w:ind w:firstLineChars="200"/>
      </w:pPr>
      <w:r>
        <w:rPr>
          <w:rFonts w:ascii="Times New Roman" w:hAnsi="Times New Roman" w:eastAsia="仿宋" w:cs="Times New Roman"/>
          <w:b w:val="0"/>
          <w:sz w:val="28"/>
        </w:rPr>
        <w:t>高接受率说明4.26元/股的价格对寻求流动性的股东构成有效激励。部分要约的特点在于，收购方并不要求获取所有预约股份，而是可以按比例分配，但预受数量未超过预定数时，可全部收购。本案预受数略低于预定数，故所有有效预受股份均被收购，股东获得了确定性。这种</w:t>
      </w:r>
      <w:r>
        <w:rPr>
          <w:rFonts w:ascii="Times New Roman" w:hAnsi="Times New Roman" w:eastAsia="Times New Roman" w:cs="Times New Roman"/>
          <w:b w:val="0"/>
          <w:sz w:val="28"/>
        </w:rPr>
        <w:t>“</w:t>
      </w:r>
      <w:r>
        <w:rPr>
          <w:rFonts w:ascii="Times New Roman" w:hAnsi="Times New Roman" w:eastAsia="仿宋" w:cs="Times New Roman"/>
          <w:b w:val="0"/>
          <w:sz w:val="28"/>
        </w:rPr>
        <w:t>先到先得</w:t>
      </w:r>
      <w:r>
        <w:rPr>
          <w:rFonts w:ascii="Times New Roman" w:hAnsi="Times New Roman" w:eastAsia="Times New Roman" w:cs="Times New Roman"/>
          <w:b w:val="0"/>
          <w:sz w:val="28"/>
        </w:rPr>
        <w:t>”</w:t>
      </w:r>
      <w:r>
        <w:rPr>
          <w:rFonts w:ascii="Times New Roman" w:hAnsi="Times New Roman" w:eastAsia="仿宋" w:cs="Times New Roman"/>
          <w:b w:val="0"/>
          <w:sz w:val="28"/>
        </w:rPr>
        <w:t>或按比例收购的机制设计，本身会激励股东尽早预受。各方博弈的最终结果使收购方以接近底价的成本达到了控股目的，而售出股东亦获得了现金退出，未售股东则保留了分享未来增长的机会。总体而言，本次要约的股东参与情况，验证了在股权分散的上市公司，通过合理定价的部分要约可高效实现控制权重组。</w:t>
      </w:r>
    </w:p>
    <w:p>
      <w:pPr>
        <w:spacing w:before="0" w:after="0" w:line="240" w:lineRule="auto" w:beforeLines="0" w:afterLines="0"/>
        <w:jc w:val="left"/>
        <w:ind w:firstLineChars="200"/>
      </w:pPr>
      <w:r>
        <w:rPr>
          <w:rFonts w:ascii="Times New Roman" w:hAnsi="Times New Roman" w:eastAsia="仿宋" w:cs="Times New Roman"/>
          <w:b/>
          <w:sz w:val="28"/>
        </w:rPr>
        <w:t>四、并购方法论启示：部分要约控股权收购的路径效率与风险</w:t>
      </w:r>
    </w:p>
    <w:p>
      <w:pPr>
        <w:spacing w:before="0" w:after="0" w:line="240" w:lineRule="auto" w:beforeLines="0" w:afterLines="0"/>
        <w:jc w:val="both"/>
        <w:ind w:firstLineChars="200"/>
      </w:pPr>
      <w:r>
        <w:rPr>
          <w:rFonts w:ascii="Times New Roman" w:hAnsi="Times New Roman" w:eastAsia="仿宋" w:cs="Times New Roman"/>
          <w:b w:val="0"/>
          <w:sz w:val="28"/>
        </w:rPr>
        <w:t>本案作为一起典型的上市公司部分要约控股收购案例，为市场提供了可复盘的范式。从收购方视角出发，部分要约相较于其他控股路径，展现出独特的效率与灵活性。</w:t>
      </w:r>
    </w:p>
    <w:p>
      <w:pPr>
        <w:spacing w:before="0" w:after="0" w:line="240" w:lineRule="auto" w:beforeLines="0" w:afterLines="0"/>
        <w:jc w:val="both"/>
        <w:ind w:firstLineChars="200"/>
      </w:pPr>
      <w:r>
        <w:rPr>
          <w:rFonts w:ascii="Times New Roman" w:hAnsi="Times New Roman" w:eastAsia="仿宋" w:cs="Times New Roman"/>
          <w:b w:val="0"/>
          <w:sz w:val="28"/>
        </w:rPr>
        <w:t>首先，在股权分散的标的中，部分要约能直接跨越与多个股东谈判的复杂过程，以统一价格面向全体股东，快速聚拢股份，避免协议转让中因卖方索价过高或互为条件导致的交易失败。其次，要约比例可精确锚定控制权所需，既避免了全面要约可能导致的公众股不足及退市风险，也优于二级市场增持在成本和时效上的劣势。最后，现金流清晰，收购方可提前锁定最大支付金额（预定股份数×要约价格），便于资金调度，本案中即使按上限计算，总额也仅为约9.95亿元（4.26元×233,491,406股），以45%的持股对应上市公司市值约20亿元量级，杠杆倍数合理。</w:t>
      </w:r>
    </w:p>
    <w:p>
      <w:pPr>
        <w:spacing w:before="0" w:after="0" w:line="240" w:lineRule="auto" w:beforeLines="0" w:afterLines="0"/>
        <w:jc w:val="both"/>
        <w:ind w:firstLineChars="200"/>
      </w:pPr>
      <w:r>
        <w:rPr>
          <w:rFonts w:ascii="Times New Roman" w:hAnsi="Times New Roman" w:eastAsia="仿宋" w:cs="Times New Roman"/>
          <w:b w:val="0"/>
          <w:sz w:val="28"/>
        </w:rPr>
        <w:t>风险层面，要约收购存在接受不足的核心风险。若定价不被市场接受，预受股份可能远低于预定数量，导致收购方无法达到控股线。本案的成功建立在适度溢价和股东结构顺应之上。在公开资料所示条件下预受率严重不足，收购方公开资料未进一步披露需要启动第二轮要约或转为二级市场购买，这将增加成本并带来不确定性。另一个风险是资金硬约束，要约公告后收购方需将等同于收购总额的资金存入指定账户，若融资断裂将引发违约。本案资金来源于何处公告未披露，这构成观察该交易后续整合风险的一个缺口。此外，收购完成后如何整合治理、是否注入资产、怎样保护中小股东利益，也均未在现有公告中说明，有待后续观察。</w:t>
      </w:r>
    </w:p>
    <w:p>
      <w:pPr>
        <w:spacing w:before="0" w:after="0" w:line="240" w:lineRule="auto" w:beforeLines="0" w:afterLines="0"/>
        <w:jc w:val="both"/>
        <w:ind w:firstLineChars="200"/>
      </w:pPr>
      <w:r>
        <w:rPr>
          <w:rFonts w:ascii="Times New Roman" w:hAnsi="Times New Roman" w:eastAsia="仿宋" w:cs="Times New Roman"/>
          <w:b w:val="0"/>
          <w:sz w:val="28"/>
        </w:rPr>
        <w:t>从方法论总结，部分要约收购适用于以下场景：标的公司股权分散，原控股股东缺位或持股较弱；收购方已有一定持股基础（例如本案21.26%），通过要约可一举越至安全控股权；市价与内在价值存在一定空间，能以有限溢价取得股份；收购方无意全面吞并，愿意维持上市地位并共享公众股东。在注册制改革与并购重组活跃的背景下，预计A股市场将出现更多类似案例，本案的定价-比例-控股平衡式设计，提供了可供产业资本和并购基金借鉴的操作思路。未来监管需关注要约定价公允性、资金来源透明度及事后中小股东保护，以防止收购方借部分要约低价获取控制权后实施掏空行为。</w:t>
      </w:r>
    </w:p>
    <w:p>
      <w:pPr>
        <w:spacing w:before="0" w:after="0" w:line="240" w:lineRule="auto" w:beforeLines="0" w:afterLines="0"/>
        <w:jc w:val="both"/>
        <w:ind w:firstLineChars="200"/>
      </w:pPr>
      <w:r>
        <w:rPr>
          <w:rFonts w:ascii="Times New Roman" w:hAnsi="Times New Roman" w:eastAsia="仿宋" w:cs="Times New Roman"/>
          <w:b w:val="0"/>
          <w:sz w:val="28"/>
        </w:rPr>
        <w:t>必须指出，公开资料对收购方的财务实力、产业背景及后续计划均未披露，本案分析仅基于要约收购完成过户公告，更深层的产业判断与整合风险尚无从评价。这恰是部分要约收购研究需追踪的下一步：控制权转移之后，上市公司治理与战略方向将发生何种变化，中小股东权益能否得到程序性保障。相关观察有待公司再融资、资产重组或定期报告的陆续发布。</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