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美国国会达成住房法案协议内含央行数字货币禁令至2030年</w:t>
      </w:r>
    </w:p>
    <w:p>
      <w:pPr>
        <w:pStyle w:val="ListParagraph"/>
        <w:spacing w:before="0" w:after="0" w:line="360" w:lineRule="auto"/>
        <w:ind w:left="0" w:firstLine="0"/>
      </w:pPr>
      <w:r>
        <w:rPr>
          <w:rFonts w:ascii="Times New Roman" w:hAnsi="Times New Roman" w:cs="Times New Roman" w:eastAsia="楷体"/>
          <w:b w:val="0"/>
          <w:sz w:val="28"/>
        </w:rPr>
        <w:t>· 伊利诺伊州长签署含加密货币交易税预算案行业强烈反对</w:t>
      </w:r>
    </w:p>
    <w:p>
      <w:pPr>
        <w:pStyle w:val="ListParagraph"/>
        <w:spacing w:before="0" w:after="0" w:line="360" w:lineRule="auto"/>
        <w:ind w:left="0" w:firstLine="0"/>
      </w:pPr>
      <w:r>
        <w:rPr>
          <w:rFonts w:ascii="Times New Roman" w:hAnsi="Times New Roman" w:cs="Times New Roman" w:eastAsia="楷体"/>
          <w:b w:val="0"/>
          <w:sz w:val="28"/>
        </w:rPr>
        <w:t>· 路透社称币安（Binance）欧盟监管牌照申请将遭拒</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Coinbase加入代币化股票竞赛推出链上股票及股息支付</w:t>
      </w:r>
    </w:p>
    <w:p>
      <w:pPr>
        <w:pStyle w:val="ListParagraph"/>
        <w:spacing w:before="0" w:after="0" w:line="360" w:lineRule="auto"/>
        <w:ind w:left="0" w:firstLine="0"/>
      </w:pPr>
      <w:r>
        <w:rPr>
          <w:rFonts w:ascii="Times New Roman" w:hAnsi="Times New Roman" w:cs="Times New Roman" w:eastAsia="楷体"/>
          <w:b w:val="0"/>
          <w:sz w:val="28"/>
        </w:rPr>
        <w:t>· Ethereum’sbiggestprotocoloverhaulinyearsmovesintoitsfinaldevelopmentstage</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VanEck比特币矿商AI转型面临约500亿美元资金缺口与执行风险</w:t>
      </w:r>
    </w:p>
    <w:p>
      <w:pPr>
        <w:pStyle w:val="ListParagraph"/>
        <w:spacing w:before="0" w:after="0" w:line="360" w:lineRule="auto"/>
        <w:ind w:left="0" w:firstLine="0"/>
      </w:pPr>
      <w:r>
        <w:rPr>
          <w:rFonts w:ascii="Times New Roman" w:hAnsi="Times New Roman" w:cs="Times New Roman" w:eastAsia="楷体"/>
          <w:b w:val="0"/>
          <w:sz w:val="28"/>
        </w:rPr>
        <w:t>· 贝莱德比特币收入基金BITA开始交易运用备兑看涨策略产生月收入</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IMF警告尼日利亚稳定币采用规模加剧风险</w:t>
      </w:r>
    </w:p>
    <w:p>
      <w:pPr>
        <w:pStyle w:val="ListParagraph"/>
        <w:spacing w:before="0" w:after="0" w:line="360" w:lineRule="auto"/>
        <w:ind w:left="0" w:firstLine="0"/>
      </w:pPr>
      <w:r>
        <w:rPr>
          <w:rFonts w:ascii="Times New Roman" w:hAnsi="Times New Roman" w:cs="Times New Roman" w:eastAsia="楷体"/>
          <w:b w:val="0"/>
          <w:sz w:val="28"/>
        </w:rPr>
        <w:t>· Strategy的MichaelSaylor表示比特币不需要以太坊风格的收益</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美国国会达成住房法案协议内含央行数字货币禁令至2030年</w:t>
      </w:r>
    </w:p>
    <w:p>
      <w:pPr>
        <w:spacing w:before="0" w:after="0" w:line="240" w:lineRule="auto"/>
        <w:ind w:left="0" w:right="0" w:firstLine="0"/>
        <w:jc w:val="both"/>
      </w:pPr>
      <w:r>
        <w:rPr>
          <w:rFonts w:ascii="Times New Roman" w:hAnsi="Times New Roman" w:cs="Times New Roman" w:eastAsia="仿宋"/>
          <w:b w:val="0"/>
          <w:sz w:val="28"/>
        </w:rPr>
        <w:t>· 美国众议院和参议院领导人就《21世纪住房法案》达成协议，该法案禁止美联储在2030年底前创建央行数字货币（CBDC）。</w:t>
      </w:r>
    </w:p>
    <w:p>
      <w:pPr>
        <w:spacing w:before="0" w:after="0" w:line="240" w:lineRule="auto"/>
        <w:ind w:left="0" w:right="0" w:firstLine="0"/>
        <w:jc w:val="both"/>
      </w:pPr>
      <w:r>
        <w:rPr>
          <w:rFonts w:ascii="Times New Roman" w:hAnsi="Times New Roman" w:cs="Times New Roman" w:eastAsia="仿宋"/>
          <w:b w:val="0"/>
          <w:sz w:val="28"/>
        </w:rPr>
        <w:t>· 该版本为两党协商后的更新版，此前参议院和众议院分别通过各自版本，现参议院新增修正案后将提交众议院最终投票。</w:t>
      </w:r>
    </w:p>
    <w:p>
      <w:pPr>
        <w:spacing w:before="0" w:after="0" w:line="240" w:lineRule="auto"/>
        <w:ind w:left="0" w:right="0" w:firstLine="0"/>
        <w:jc w:val="both"/>
      </w:pPr>
      <w:r>
        <w:rPr>
          <w:rFonts w:ascii="Times New Roman" w:hAnsi="Times New Roman" w:cs="Times New Roman" w:eastAsia="仿宋"/>
          <w:b w:val="0"/>
          <w:sz w:val="28"/>
        </w:rPr>
        <w:t>· 法案中的CBDC禁令语言借鉴了共和党众议员Tom Emmer的《反CBDC监控国家法案》，并与特朗普总统2025年签署的行政令方向一致。</w:t>
      </w:r>
    </w:p>
    <w:p>
      <w:pPr>
        <w:pStyle w:val="正文内容"/>
        <w:spacing w:before="0" w:after="0" w:line="240" w:lineRule="auto"/>
        <w:ind w:left="0" w:right="0" w:firstLine="560"/>
        <w:jc w:val="both"/>
      </w:pPr>
      <w:r>
        <w:rPr>
          <w:rFonts w:ascii="Times New Roman" w:hAnsi="Times New Roman" w:cs="Times New Roman" w:eastAsia="仿宋"/>
          <w:b w:val="0"/>
          <w:sz w:val="28"/>
        </w:rPr>
        <w:t>美国国会可能在近期内暂时禁止央行数字货币（central bank digital currency，CBDC）。众议院和参议院领导人已就《21世纪住房法案》（21st Century Road to Housing Act）达成协议，该法案包含一项禁令：禁止美联储在2030年之前创建CBDC。</w:t>
      </w:r>
    </w:p>
    <w:p>
      <w:pPr>
        <w:pStyle w:val="正文内容"/>
        <w:spacing w:before="0" w:after="0" w:line="240" w:lineRule="auto"/>
        <w:ind w:left="0" w:right="0" w:firstLine="560"/>
        <w:jc w:val="both"/>
      </w:pPr>
      <w:r>
        <w:rPr>
          <w:rFonts w:ascii="Times New Roman" w:hAnsi="Times New Roman" w:cs="Times New Roman" w:eastAsia="仿宋"/>
          <w:b w:val="0"/>
          <w:sz w:val="28"/>
        </w:rPr>
        <w:t>这项两党协议于6月17日公布，是《21世纪住房法案》的更新版本。该法案旨在解决住房可负担性问题，并禁止机构投资者购买现有独栋住宅用于出租。自参议院3月通过该法案以来，其中一直包含CBDC禁令。众议院也于5月以高支持率通过了自身版本，但两院在某些方面存在分歧。参议院现已增加进一步修正案，将提交众议院进行最终表决。</w:t>
      </w:r>
    </w:p>
    <w:p>
      <w:pPr>
        <w:pStyle w:val="正文内容"/>
        <w:spacing w:before="0" w:after="0" w:line="240" w:lineRule="auto"/>
        <w:ind w:left="0" w:right="0" w:firstLine="560"/>
        <w:jc w:val="both"/>
      </w:pPr>
      <w:r>
        <w:rPr>
          <w:rFonts w:ascii="Times New Roman" w:hAnsi="Times New Roman" w:cs="Times New Roman" w:eastAsia="仿宋"/>
          <w:b w:val="0"/>
          <w:sz w:val="28"/>
        </w:rPr>
        <w:t>该法案很可能迅速通过，这将为多年来一直试图推动CBDC禁令的共和党人带来胜利——此前独立的CBDC禁令法案在国会中停滞不前。加密货币倡导者长期以来一直批评CBDC，认为这是政府将加密技术重新用于中心化控制资产的尝试。</w:t>
      </w:r>
    </w:p>
    <w:p>
      <w:pPr>
        <w:pStyle w:val="正文内容"/>
        <w:spacing w:before="0" w:after="0" w:line="240" w:lineRule="auto"/>
        <w:ind w:left="0" w:right="0" w:firstLine="560"/>
        <w:jc w:val="both"/>
      </w:pPr>
      <w:r>
        <w:rPr>
          <w:rFonts w:ascii="Times New Roman" w:hAnsi="Times New Roman" w:cs="Times New Roman" w:eastAsia="仿宋"/>
          <w:b w:val="0"/>
          <w:sz w:val="28"/>
        </w:rPr>
        <w:t>该协议还意味着，国会可以在8月休会和11月中期选举前专注于通过其他立法，尤其是许多议员一直在推动推进的加密监管法案《CLARITY法案》。两名知情人士向Politico透露，众议院共和党领导人计划在6月23日休会结束后将此法案提交表决。</w:t>
      </w:r>
    </w:p>
    <w:p>
      <w:pPr>
        <w:pStyle w:val="正文内容"/>
        <w:spacing w:before="0" w:after="0" w:line="240" w:lineRule="auto"/>
        <w:ind w:left="0" w:right="0" w:firstLine="560"/>
        <w:jc w:val="both"/>
      </w:pPr>
      <w:r>
        <w:rPr>
          <w:rFonts w:ascii="Times New Roman" w:hAnsi="Times New Roman" w:cs="Times New Roman" w:eastAsia="仿宋"/>
          <w:b w:val="0"/>
          <w:sz w:val="28"/>
        </w:rPr>
        <w:t>住房法案中的CBDC禁令条款明确规定：美联储不得直接或间接“发行或创建央行数字货币，或任何与央行数字货币实质相似的数字资产”。该条款将于2030年12月31日到期，并为加密货币稳定币或“开放、无需许可且私密的美元计价货币”设立了例外。</w:t>
      </w:r>
    </w:p>
    <w:p>
      <w:pPr>
        <w:pStyle w:val="正文内容"/>
        <w:spacing w:before="0" w:after="0" w:line="240" w:lineRule="auto"/>
        <w:ind w:left="0" w:right="0" w:firstLine="560"/>
        <w:jc w:val="both"/>
      </w:pPr>
      <w:r>
        <w:rPr>
          <w:rFonts w:ascii="Times New Roman" w:hAnsi="Times New Roman" w:cs="Times New Roman" w:eastAsia="仿宋"/>
          <w:b w:val="0"/>
          <w:sz w:val="28"/>
        </w:rPr>
        <w:t>该条款复活了共和党众议员Tom Emmer的《反CBDC监控国家法案》（Anti-CBDC Surveillance State Act）中的大部分措辞。该法案于2025年6月提出，次月由众议院通过，但从未在参议院被审议。</w:t>
      </w:r>
    </w:p>
    <w:p>
      <w:pPr>
        <w:pStyle w:val="正文内容"/>
        <w:spacing w:before="0" w:after="0" w:line="240" w:lineRule="auto"/>
        <w:ind w:left="0" w:right="0" w:firstLine="560"/>
        <w:jc w:val="both"/>
      </w:pPr>
      <w:r>
        <w:rPr>
          <w:rFonts w:ascii="Times New Roman" w:hAnsi="Times New Roman" w:cs="Times New Roman" w:eastAsia="仿宋"/>
          <w:b w:val="0"/>
          <w:sz w:val="28"/>
        </w:rPr>
        <w:t>美国总统Donald Trump于2025年1月签署了一项行政令，禁止联邦机构从事所有与CBDC相关的工作，称它们威胁“金融体系的稳定性、个人隐私以及美国的主权”。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原文标题：Congress reaches deal on housing bill with CBDC ban until 2030</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原文链接：https://cointelegraph.com/news/congress-reaches-deal-on-housing-bill-inclusive-of-cbdc-ban-until-2030</w:t>
      </w:r>
    </w:p>
    <w:p/>
    <w:p>
      <w:pPr>
        <w:pStyle w:val="文章一级标题"/>
        <w:spacing w:before="0" w:after="0" w:line="240" w:lineRule="auto"/>
        <w:ind w:left="0" w:right="0" w:firstLine="0"/>
        <w:jc w:val="center"/>
      </w:pPr>
      <w:r>
        <w:rPr>
          <w:rFonts w:ascii="Times New Roman" w:hAnsi="Times New Roman" w:cs="Times New Roman" w:eastAsia="黑体"/>
          <w:b w:val="0"/>
          <w:sz w:val="30"/>
        </w:rPr>
        <w:t>伊利诺伊州长签署含加密货币交易税预算案行业强烈反对</w:t>
      </w:r>
    </w:p>
    <w:p>
      <w:pPr>
        <w:spacing w:before="0" w:after="0" w:line="240" w:lineRule="auto"/>
        <w:ind w:left="0" w:right="0" w:firstLine="0"/>
        <w:jc w:val="both"/>
      </w:pPr>
      <w:r>
        <w:rPr>
          <w:rFonts w:ascii="Times New Roman" w:hAnsi="Times New Roman" w:cs="Times New Roman" w:eastAsia="仿宋"/>
          <w:b w:val="0"/>
          <w:sz w:val="28"/>
        </w:rPr>
        <w:t>· 伊利诺伊州州长JB Pritzker签署了包含0.2%数字资产“特权税”的FY27州预算案，该税项适用于该州居民的任何数字资产交易。</w:t>
      </w:r>
    </w:p>
    <w:p>
      <w:pPr>
        <w:spacing w:before="0" w:after="0" w:line="240" w:lineRule="auto"/>
        <w:ind w:left="0" w:right="0" w:firstLine="0"/>
        <w:jc w:val="both"/>
      </w:pPr>
      <w:r>
        <w:rPr>
          <w:rFonts w:ascii="Times New Roman" w:hAnsi="Times New Roman" w:cs="Times New Roman" w:eastAsia="仿宋"/>
          <w:b w:val="0"/>
          <w:sz w:val="28"/>
        </w:rPr>
        <w:t>· 加密创新委员会（CCI）和数字商会等组织强烈反对，称该税将单独针对数字资产，相当于“根据交付方式对信件征税”。</w:t>
      </w:r>
    </w:p>
    <w:p>
      <w:pPr>
        <w:spacing w:before="0" w:after="0" w:line="240" w:lineRule="auto"/>
        <w:ind w:left="0" w:right="0" w:firstLine="0"/>
        <w:jc w:val="both"/>
      </w:pPr>
      <w:r>
        <w:rPr>
          <w:rFonts w:ascii="Times New Roman" w:hAnsi="Times New Roman" w:cs="Times New Roman" w:eastAsia="仿宋"/>
          <w:b w:val="0"/>
          <w:sz w:val="28"/>
        </w:rPr>
        <w:t>· a16z总法律顾问Miles Jennings指出，全美没有可比的对股票、债券或衍生品的州金融交易税，加密被单独挑出违反了联邦法律。</w:t>
      </w:r>
    </w:p>
    <w:p>
      <w:pPr>
        <w:pStyle w:val="正文内容"/>
        <w:spacing w:before="0" w:after="0" w:line="240" w:lineRule="auto"/>
        <w:ind w:left="0" w:right="0" w:firstLine="560"/>
        <w:jc w:val="both"/>
      </w:pPr>
      <w:r>
        <w:rPr>
          <w:rFonts w:ascii="Times New Roman" w:hAnsi="Times New Roman" w:cs="Times New Roman" w:eastAsia="仿宋"/>
          <w:b w:val="0"/>
          <w:sz w:val="28"/>
        </w:rPr>
        <w:t>伊利诺伊州州长JB Pritzker于周二签署了总额559亿美元的FY27州预算案，其中包括对涉及该州居民的加密交易征收0.2%“特权税”的条款。该税适用于所有在注册平台上进行的、被广义定义为“数字资产业务活动”的交易。尽管加密行业团体此前强烈反对，Pritzker仍签署了该法案。</w:t>
      </w:r>
    </w:p>
    <w:p>
      <w:pPr>
        <w:pStyle w:val="正文内容"/>
        <w:spacing w:before="0" w:after="0" w:line="240" w:lineRule="auto"/>
        <w:ind w:left="0" w:right="0" w:firstLine="560"/>
        <w:jc w:val="both"/>
      </w:pPr>
      <w:r>
        <w:rPr>
          <w:rFonts w:ascii="Times New Roman" w:hAnsi="Times New Roman" w:cs="Times New Roman" w:eastAsia="仿宋"/>
          <w:b w:val="0"/>
          <w:sz w:val="28"/>
        </w:rPr>
        <w:t>加密创新委员会（Crypto Council for Innovation，CCI）周二呼吁Pritzker对参议院第3019号法案第3条行使“单项否决权”，称该税将“对仅因使用数字资产而使用数字资产的伊利诺伊州居民造成不成比例的负担，并将把创新和建设者赶出该州”。伊利诺伊州拥有多家知名加密公司，包括Zero Hash、Jump Crypto、Bitnomial和Apex Crypto。</w:t>
      </w:r>
    </w:p>
    <w:p>
      <w:pPr>
        <w:pStyle w:val="正文内容"/>
        <w:spacing w:before="0" w:after="0" w:line="240" w:lineRule="auto"/>
        <w:ind w:left="0" w:right="0" w:firstLine="560"/>
        <w:jc w:val="both"/>
      </w:pPr>
      <w:r>
        <w:rPr>
          <w:rFonts w:ascii="Times New Roman" w:hAnsi="Times New Roman" w:cs="Times New Roman" w:eastAsia="仿宋"/>
          <w:b w:val="0"/>
          <w:sz w:val="28"/>
        </w:rPr>
        <w:t>据美国税务公司BDO USA称，这项范围广泛的数字资产税也可能影响州外公司——如果它们在伊利诺伊州有足够客户活动的话。该税将于2027年1月1日生效，将使伊利诺伊州成为唯一一个对数字资产用户征税而不论其收入、收益或利润的州，这与传统税收结构不同。在该州运营的数字资产经纪商还必须注册并遵守新的报告义务。</w:t>
      </w:r>
    </w:p>
    <w:p>
      <w:pPr>
        <w:pStyle w:val="正文内容"/>
        <w:spacing w:before="0" w:after="0" w:line="240" w:lineRule="auto"/>
        <w:ind w:left="0" w:right="0" w:firstLine="560"/>
        <w:jc w:val="both"/>
      </w:pPr>
      <w:r>
        <w:rPr>
          <w:rFonts w:ascii="Times New Roman" w:hAnsi="Times New Roman" w:cs="Times New Roman" w:eastAsia="仿宋"/>
          <w:b w:val="0"/>
          <w:sz w:val="28"/>
        </w:rPr>
        <w:t>CCI认为，该税仅基于处理数字资产所用的技术就单独将其挑出，相当于“根据交易发生的媒介是区块链而征税，这就像因为信件是通过电子邮件而非邮局递送而对其征收税”。该组织还指出，时机不佳，因为行业已在适应联邦《数字资产和消费者保护法》（DACPA），国会也在单独制定加密资产的国家税收框架。</w:t>
      </w:r>
    </w:p>
    <w:p>
      <w:pPr>
        <w:pStyle w:val="正文内容"/>
        <w:spacing w:before="0" w:after="0" w:line="240" w:lineRule="auto"/>
        <w:ind w:left="0" w:right="0" w:firstLine="560"/>
        <w:jc w:val="both"/>
      </w:pPr>
      <w:r>
        <w:rPr>
          <w:rFonts w:ascii="Times New Roman" w:hAnsi="Times New Roman" w:cs="Times New Roman" w:eastAsia="仿宋"/>
          <w:b w:val="0"/>
          <w:sz w:val="28"/>
        </w:rPr>
        <w:t>数字商会（The Digital Chamber）于6月3日致信反对《数字资产特权税法》，提出了类似论点。信中写道：“该税将在金融服务向区块链迁移的关键时刻阻碍数字资产的使用，将伊利诺伊州居民排除在进步和创新之外，并将推动现有的伊利诺伊州区块链和加密公司迁出该州。”</w:t>
      </w:r>
    </w:p>
    <w:p>
      <w:pPr>
        <w:pStyle w:val="正文内容"/>
        <w:spacing w:before="0" w:after="0" w:line="240" w:lineRule="auto"/>
        <w:ind w:left="0" w:right="0" w:firstLine="560"/>
        <w:jc w:val="both"/>
      </w:pPr>
      <w:r>
        <w:rPr>
          <w:rFonts w:ascii="Times New Roman" w:hAnsi="Times New Roman" w:cs="Times New Roman" w:eastAsia="仿宋"/>
          <w:b w:val="0"/>
          <w:sz w:val="28"/>
        </w:rPr>
        <w:t>a16z Crypto政策主管兼总法律顾问Miles Jennings在周三的X平台上表示，这是美国最反加密的法律之一。他说：“全美没有一个州对股票、债券或衍生品征收可比性的金融交易税。这意味着加密被单独挑出，违反了多项联邦法律。”他补充道：“伊利诺伊州没有拥抱区块链为普通居民带来的创新和成本效率，反而准备惩罚那些想要使用加密的企业家和公民。”</w:t>
      </w:r>
    </w:p>
    <w:p>
      <w:pPr>
        <w:pStyle w:val="正文内容"/>
        <w:spacing w:before="0" w:after="0" w:line="240" w:lineRule="auto"/>
        <w:ind w:left="0" w:right="0" w:firstLine="560"/>
        <w:jc w:val="both"/>
      </w:pPr>
      <w:r>
        <w:rPr>
          <w:rFonts w:ascii="Times New Roman" w:hAnsi="Times New Roman" w:cs="Times New Roman" w:eastAsia="仿宋"/>
          <w:b w:val="0"/>
          <w:sz w:val="28"/>
        </w:rPr>
        <w:t>这项加密税与注册和合规要求捆绑在一起，是为填补预算缺口而制定的更大一揽子计划的一部分。该法案预计将为Pritzker的FY27预算带来超过8亿美元的新税收。</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原文标题：Illinois governor approves crypto transaction tax despite industry uproar</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原文链接：https://cointelegraph.com/news/crypto-advocates-execs-push-back-on-illinois-transaction-tax</w:t>
      </w:r>
    </w:p>
    <w:p/>
    <w:p>
      <w:pPr>
        <w:pStyle w:val="文章一级标题"/>
        <w:spacing w:before="0" w:after="0" w:line="240" w:lineRule="auto"/>
        <w:ind w:left="0" w:right="0" w:firstLine="0"/>
        <w:jc w:val="center"/>
      </w:pPr>
      <w:r>
        <w:rPr>
          <w:rFonts w:ascii="Times New Roman" w:hAnsi="Times New Roman" w:cs="Times New Roman" w:eastAsia="黑体"/>
          <w:b w:val="0"/>
          <w:sz w:val="30"/>
        </w:rPr>
        <w:t>路透社称币安（Binance）欧盟监管牌照申请将遭拒</w:t>
      </w:r>
    </w:p>
    <w:p>
      <w:pPr>
        <w:spacing w:before="0" w:after="0" w:line="240" w:lineRule="auto"/>
        <w:ind w:left="0" w:right="0" w:firstLine="0"/>
        <w:jc w:val="both"/>
      </w:pPr>
      <w:r>
        <w:rPr>
          <w:rFonts w:ascii="Times New Roman" w:hAnsi="Times New Roman" w:cs="Times New Roman" w:eastAsia="仿宋"/>
          <w:b w:val="0"/>
          <w:sz w:val="28"/>
        </w:rPr>
        <w:t>· 路透社援引两位知情人士称，希腊市场监管机构预计将在6月30日牌照截止日期前拒绝币安（Binance）的MiCA申请。</w:t>
      </w:r>
    </w:p>
    <w:p>
      <w:pPr>
        <w:spacing w:before="0" w:after="0" w:line="240" w:lineRule="auto"/>
        <w:ind w:left="0" w:right="0" w:firstLine="0"/>
        <w:jc w:val="both"/>
      </w:pPr>
      <w:r>
        <w:rPr>
          <w:rFonts w:ascii="Times New Roman" w:hAnsi="Times New Roman" w:cs="Times New Roman" w:eastAsia="仿宋"/>
          <w:b w:val="0"/>
          <w:sz w:val="28"/>
        </w:rPr>
        <w:t>· 币安周二表示，其认为自身运营符合欧盟《加密资产市场法规》（MiCA），过去18个月一直与希腊资本市场委员会（HCMC）建设性合作。</w:t>
      </w:r>
    </w:p>
    <w:p>
      <w:pPr>
        <w:spacing w:before="0" w:after="0" w:line="240" w:lineRule="auto"/>
        <w:ind w:left="0" w:right="0" w:firstLine="0"/>
        <w:jc w:val="both"/>
      </w:pPr>
      <w:r>
        <w:rPr>
          <w:rFonts w:ascii="Times New Roman" w:hAnsi="Times New Roman" w:cs="Times New Roman" w:eastAsia="仿宋"/>
          <w:b w:val="0"/>
          <w:sz w:val="28"/>
        </w:rPr>
        <w:t>· 若未获批准，币安需停止在欧盟的业务；但公司称欧洲仍是其长期计划的核心，并表示愿意并准备在完全协调的MiCA制度下运营。</w:t>
      </w:r>
    </w:p>
    <w:p>
      <w:pPr>
        <w:pStyle w:val="正文内容"/>
        <w:spacing w:before="0" w:after="0" w:line="240" w:lineRule="auto"/>
        <w:ind w:left="0" w:right="0" w:firstLine="560"/>
        <w:jc w:val="both"/>
      </w:pPr>
      <w:r>
        <w:rPr>
          <w:rFonts w:ascii="Times New Roman" w:hAnsi="Times New Roman" w:cs="Times New Roman" w:eastAsia="仿宋"/>
          <w:b w:val="0"/>
          <w:sz w:val="28"/>
        </w:rPr>
        <w:t>据路透社报道，全球最大加密货币交易所币安（Binance）预计将失去在欧盟提供服务的能力。路透社援引两位知情人士称，希腊市场监管机构将在6月30日牌照截止日期前拒绝币安根据欧盟《加密资产市场法规》（MiCA，Markets in Crypto Assets）提交的申请。</w:t>
      </w:r>
    </w:p>
    <w:p>
      <w:pPr>
        <w:pStyle w:val="正文内容"/>
        <w:spacing w:before="0" w:after="0" w:line="240" w:lineRule="auto"/>
        <w:ind w:left="0" w:right="0" w:firstLine="560"/>
        <w:jc w:val="both"/>
      </w:pPr>
      <w:r>
        <w:rPr>
          <w:rFonts w:ascii="Times New Roman" w:hAnsi="Times New Roman" w:cs="Times New Roman" w:eastAsia="仿宋"/>
          <w:b w:val="0"/>
          <w:sz w:val="28"/>
        </w:rPr>
        <w:t>币安的一名发言人周二对Decrypt表示：“我们一直在寻求MiCA牌照，过去18个月与监管机构进行了建设性合作，包括通过希腊HCMC（Hellenic Capital Market Commission）提交了全面的申请。”该发言人补充道：“我们的理解是，HCMC已完成对申请的审查，并认为其符合MiCA要求。”</w:t>
      </w:r>
    </w:p>
    <w:p>
      <w:pPr>
        <w:pStyle w:val="正文内容"/>
        <w:spacing w:before="0" w:after="0" w:line="240" w:lineRule="auto"/>
        <w:ind w:left="0" w:right="0" w:firstLine="560"/>
        <w:jc w:val="both"/>
      </w:pPr>
      <w:r>
        <w:rPr>
          <w:rFonts w:ascii="Times New Roman" w:hAnsi="Times New Roman" w:cs="Times New Roman" w:eastAsia="仿宋"/>
          <w:b w:val="0"/>
          <w:sz w:val="28"/>
        </w:rPr>
        <w:t>币安于去年12月在希腊设立了控股公司，并于今年1月通过HCMC正式提交了MiCA牌照申请。若获批，这家日交易量全球领先的交易所将能将其服务“护照化”至其他欧盟国家，如法国、西班牙和德国。否则，它将需要停止在整个欧盟的运营——路透社称这一结果可能即将到来。</w:t>
      </w:r>
    </w:p>
    <w:p>
      <w:pPr>
        <w:pStyle w:val="正文内容"/>
        <w:spacing w:before="0" w:after="0" w:line="240" w:lineRule="auto"/>
        <w:ind w:left="0" w:right="0" w:firstLine="560"/>
        <w:jc w:val="both"/>
      </w:pPr>
      <w:r>
        <w:rPr>
          <w:rFonts w:ascii="Times New Roman" w:hAnsi="Times New Roman" w:cs="Times New Roman" w:eastAsia="仿宋"/>
          <w:b w:val="0"/>
          <w:sz w:val="28"/>
        </w:rPr>
        <w:t>币安在X平台（原推特）上发文称：“我们的首要任务是尽量减少干扰并让用户知情。我们将在获得更多信息后直接提供进一步细节，包括下一步措施和可用选项。”在一篇博文中，币安表示欧洲仍是其长期计划的“核心”，并且“仍愿意并准备在完全协调的MiCA制度下运营。”</w:t>
      </w:r>
    </w:p>
    <w:p>
      <w:pPr>
        <w:pStyle w:val="正文内容"/>
        <w:spacing w:before="0" w:after="0" w:line="240" w:lineRule="auto"/>
        <w:ind w:left="0" w:right="0" w:firstLine="560"/>
        <w:jc w:val="both"/>
      </w:pPr>
      <w:r>
        <w:rPr>
          <w:rFonts w:ascii="Times New Roman" w:hAnsi="Times New Roman" w:cs="Times New Roman" w:eastAsia="仿宋"/>
          <w:b w:val="0"/>
          <w:sz w:val="28"/>
        </w:rPr>
        <w:t>今年1月，法国监管机构曾指出约有90家加密公司在未符合MiCA的情况下在欧盟运营，但当时约30%已提交申请。去年，法国监管机构威胁要取消MiCA牌照在欧盟各国间“护照化”的效力，试图将监督权上移至欧洲证券和市场管理局（ESMA，European Securities and Markets Authority）。币安发言人告诉Decrypt，其MiCA申请也已提交至ESMA层面接受审查。</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原文标题：Crypto Exchange Binance Will Be Rejected for EU Regulatory License： Reuters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原文链接：https://decrypt.co/371343/binance-rejected-eu-regulatory-license-reuters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Coinbase加入代币化股票竞赛推出链上股票及股息支付</w:t>
      </w:r>
    </w:p>
    <w:p>
      <w:pPr>
        <w:spacing w:before="0" w:after="0" w:line="240" w:lineRule="auto"/>
        <w:ind w:left="0" w:right="0" w:firstLine="0"/>
        <w:jc w:val="both"/>
      </w:pPr>
      <w:r>
        <w:rPr>
          <w:rFonts w:ascii="Times New Roman" w:hAnsi="Times New Roman" w:cs="Times New Roman" w:eastAsia="仿宋"/>
          <w:b w:val="0"/>
          <w:sz w:val="28"/>
        </w:rPr>
        <w:t>· Coinbase宣布将推出1：1锚定美国股票的真实代币化股票，用户可持有、交易并自动获得股息。</w:t>
      </w:r>
    </w:p>
    <w:p>
      <w:pPr>
        <w:spacing w:before="0" w:after="0" w:line="240" w:lineRule="auto"/>
        <w:ind w:left="0" w:right="0" w:firstLine="0"/>
        <w:jc w:val="both"/>
      </w:pPr>
      <w:r>
        <w:rPr>
          <w:rFonts w:ascii="Times New Roman" w:hAnsi="Times New Roman" w:cs="Times New Roman" w:eastAsia="仿宋"/>
          <w:b w:val="0"/>
          <w:sz w:val="28"/>
        </w:rPr>
        <w:t>· CEO Brian Armstrong强调该产品提供直接股权所有权，不同于现有多数代币化股票的衍生品或IOU结构。</w:t>
      </w:r>
    </w:p>
    <w:p>
      <w:pPr>
        <w:spacing w:before="0" w:after="0" w:line="240" w:lineRule="auto"/>
        <w:ind w:left="0" w:right="0" w:firstLine="0"/>
        <w:jc w:val="both"/>
      </w:pPr>
      <w:r>
        <w:rPr>
          <w:rFonts w:ascii="Times New Roman" w:hAnsi="Times New Roman" w:cs="Times New Roman" w:eastAsia="仿宋"/>
          <w:b w:val="0"/>
          <w:sz w:val="28"/>
        </w:rPr>
        <w:t>· 代币化股票将首先在美国以外的合格司法管辖区推出，具体上线日期尚未公布。</w:t>
      </w:r>
    </w:p>
    <w:p>
      <w:pPr>
        <w:pStyle w:val="正文内容"/>
        <w:spacing w:before="0" w:after="0" w:line="240" w:lineRule="auto"/>
        <w:ind w:left="0" w:right="0" w:firstLine="560"/>
        <w:jc w:val="both"/>
      </w:pPr>
      <w:r>
        <w:rPr>
          <w:rFonts w:ascii="Times New Roman" w:hAnsi="Times New Roman" w:cs="Times New Roman" w:eastAsia="仿宋"/>
          <w:b w:val="0"/>
          <w:sz w:val="28"/>
        </w:rPr>
        <w:t>加密货币交易所Coinbase（COIN）宣布计划推出代币化股票，这些股票将由美国基础股票按1：1比例支持。在周二通过X平台发布的一则帖子中，该交易所表示“真正的、1：1锚定的代币化股票即将到来”，用户将能够在链上拥有、交易、持有和赎回这些证券，并自动获得股息。这一公告早于该公司原定于美东时间周二下午3点举行的产品发布会，预计届时将公布一系列涵盖交易和金融服务的产品。</w:t>
      </w:r>
    </w:p>
    <w:p>
      <w:pPr>
        <w:pStyle w:val="正文内容"/>
        <w:spacing w:before="0" w:after="0" w:line="240" w:lineRule="auto"/>
        <w:ind w:left="0" w:right="0" w:firstLine="560"/>
        <w:jc w:val="both"/>
      </w:pPr>
      <w:r>
        <w:rPr>
          <w:rFonts w:ascii="Times New Roman" w:hAnsi="Times New Roman" w:cs="Times New Roman" w:eastAsia="仿宋"/>
          <w:b w:val="0"/>
          <w:sz w:val="28"/>
        </w:rPr>
        <w:t>CEO Brian Armstrong在一份声明中表示：“这些是你可以信赖的真正1：1锚定的代币化股票。你在链上拥有一家公司的实际股份。”Armstrong指出，该产品与许多现有的代币化股票发行不同，后者通常被构建为衍生品或合成敞口，而非直接所有权权益。他补充说：“其他当前解决方案是某种形式的衍生品或借条，而非真实所有权。我们的代币化股票将赋予真实所有权（例如股息上涨）的所有优势，同时兼具代币化资产的所有好处。”</w:t>
      </w:r>
    </w:p>
    <w:p>
      <w:pPr>
        <w:pStyle w:val="正文内容"/>
        <w:spacing w:before="0" w:after="0" w:line="240" w:lineRule="auto"/>
        <w:ind w:left="0" w:right="0" w:firstLine="560"/>
        <w:jc w:val="both"/>
      </w:pPr>
      <w:r>
        <w:rPr>
          <w:rFonts w:ascii="Times New Roman" w:hAnsi="Times New Roman" w:cs="Times New Roman" w:eastAsia="仿宋"/>
          <w:b w:val="0"/>
          <w:sz w:val="28"/>
        </w:rPr>
        <w:t>代币化股票是数字资产行业中增长最快的领域之一，各公司正寻求将传统证券迁移至区块链轨道。支持者认为，该技术可以减少结算时间、降低成本，并允许资产全天候交易，而非仅在市场交易时段进行。对于美国以外的投资者而言，代币化股票承诺提供进入全球最大经济体资本市场的更便捷途径，而无需在外国经纪商开设账户并应对当地限制。</w:t>
      </w:r>
    </w:p>
    <w:p>
      <w:pPr>
        <w:pStyle w:val="正文内容"/>
        <w:spacing w:before="0" w:after="0" w:line="240" w:lineRule="auto"/>
        <w:ind w:left="0" w:right="0" w:firstLine="560"/>
        <w:jc w:val="both"/>
      </w:pPr>
      <w:r>
        <w:rPr>
          <w:rFonts w:ascii="Times New Roman" w:hAnsi="Times New Roman" w:cs="Times New Roman" w:eastAsia="仿宋"/>
          <w:b w:val="0"/>
          <w:sz w:val="28"/>
        </w:rPr>
        <w:t>该领域的竞争今年已经加剧。Kraken近期通过其xStocks平台为180多个国家的客户增加了代币化美国股票，Robinhood（HOOD）则宣布计划在欧洲提供代币化股票。Gemini、Bybit等其他加密货币交易所也已探索类似产品。代币化也在传统金融市场中获得关注。Citi预测，到本十年末，代币化证券可能增长为一个数万亿美元的市场，而BlackRock（BLK）、Franklin Templeton和JPMorgan（JPM）均已扩大其代币化基金和资产发行。</w:t>
      </w:r>
    </w:p>
    <w:p>
      <w:pPr>
        <w:pStyle w:val="正文内容"/>
        <w:spacing w:before="0" w:after="0" w:line="240" w:lineRule="auto"/>
        <w:ind w:left="0" w:right="0" w:firstLine="560"/>
        <w:jc w:val="both"/>
      </w:pPr>
      <w:r>
        <w:rPr>
          <w:rFonts w:ascii="Times New Roman" w:hAnsi="Times New Roman" w:cs="Times New Roman" w:eastAsia="仿宋"/>
          <w:b w:val="0"/>
          <w:sz w:val="28"/>
        </w:rPr>
        <w:t>Coinbase表示，这些代币化股票最初将仅在美国以外的合格司法管辖区可用。该公司未提供正式上线日期，仅表示产品“即将推出”。</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原文标题：Coinbase to join tokenized stock race with onchain shares， dividend payments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原文链接：https://www.coindesk.com/business/2026/06/16/coinbase-to-join-tokenized-stock-race-with-onchain-shares-dividend-payments</w:t>
      </w:r>
    </w:p>
    <w:p/>
    <w:p>
      <w:pPr>
        <w:pStyle w:val="文章一级标题"/>
        <w:spacing w:before="0" w:after="0" w:line="240" w:lineRule="auto"/>
        <w:ind w:left="0" w:right="0" w:firstLine="0"/>
        <w:jc w:val="center"/>
      </w:pPr>
      <w:r>
        <w:rPr>
          <w:rFonts w:ascii="Times New Roman" w:hAnsi="Times New Roman" w:cs="Times New Roman" w:eastAsia="黑体"/>
          <w:b w:val="0"/>
          <w:sz w:val="30"/>
        </w:rPr>
        <w:t>Ethereum’sbiggestprotocoloverhaulinyearsmovesintoitsfinaldevelopmentstage</w:t>
      </w:r>
    </w:p>
    <w:p>
      <w:pPr>
        <w:spacing w:before="0" w:after="0" w:line="240" w:lineRule="auto"/>
        <w:ind w:left="0" w:right="0" w:firstLine="0"/>
        <w:jc w:val="both"/>
      </w:pPr>
      <w:r>
        <w:rPr>
          <w:rFonts w:ascii="Times New Roman" w:hAnsi="Times New Roman" w:cs="Times New Roman" w:eastAsia="仿宋"/>
          <w:b w:val="0"/>
          <w:sz w:val="28"/>
        </w:rPr>
        <w:t>· 该条为原文正文自动切分草稿，发布前需人工逐段核对。</w:t>
      </w:r>
    </w:p>
    <w:p>
      <w:pPr>
        <w:pStyle w:val="正文内容"/>
        <w:spacing w:before="0" w:after="0" w:line="240" w:lineRule="auto"/>
        <w:ind w:left="0" w:right="0" w:firstLine="560"/>
        <w:jc w:val="both"/>
      </w:pPr>
      <w:r>
        <w:rPr>
          <w:rFonts w:ascii="Times New Roman" w:hAnsi="Times New Roman" w:cs="Times New Roman" w:eastAsia="仿宋"/>
          <w:b w:val="0"/>
          <w:sz w:val="28"/>
        </w:rPr>
        <w:t>Ethereum (ETH) news： Glamsterdam upgrade moves into its final development stage Tech Ethereum’s biggest protocol overhaul in years moves into its final development stage Developers are entering the final stretch of work on Glamsterdam， the network's next major upgrade， as teams begin testing a version of the fork in a closed environment. By Margaux Nijkerk | Edited by Jamie Crawley Jun 16， 2026， 2：48 p.m. 2 min read</w:t>
      </w:r>
    </w:p>
    <w:p>
      <w:pPr>
        <w:pStyle w:val="正文内容"/>
        <w:spacing w:before="0" w:after="0" w:line="240" w:lineRule="auto"/>
        <w:ind w:left="0" w:right="0" w:firstLine="560"/>
        <w:jc w:val="both"/>
      </w:pPr>
      <w:r>
        <w:rPr>
          <w:rFonts w:ascii="Times New Roman" w:hAnsi="Times New Roman" w:cs="Times New Roman" w:eastAsia="仿宋"/>
          <w:b w:val="0"/>
          <w:sz w:val="28"/>
        </w:rPr>
        <w:t>Make preferred on Share Share this article Copy link X (Twitter) LinkedIn Facebook Email Make preferred on (Adi Goldstein/Unsplash) Summary Show Ethereum developers have entered the final development phase of Glamsterdam， running devnets with all planned EIPs before moving to testnets. The upgrade， expected in the second half of the year， is being described as one of the network’s biggest changes since the Merge. Eth</w:t>
      </w:r>
    </w:p>
    <w:p>
      <w:pPr>
        <w:pStyle w:val="正文内容"/>
        <w:spacing w:before="0" w:after="0" w:line="240" w:lineRule="auto"/>
        <w:ind w:left="0" w:right="0" w:firstLine="560"/>
        <w:jc w:val="both"/>
      </w:pPr>
      <w:r>
        <w:rPr>
          <w:rFonts w:ascii="Times New Roman" w:hAnsi="Times New Roman" w:cs="Times New Roman" w:eastAsia="仿宋"/>
          <w:b w:val="0"/>
          <w:sz w:val="28"/>
        </w:rPr>
        <w:t>ereum developers are entering the final stretch of work on Glamsterdam ， the network's next major upgrade， as teams begin testing a version of the fork that includes the planned protocol changes. Developers are currently running developer networks， or “devnets”， early testing environments used by Ethereum developers to trial new code and protocol changes before they reach public testnets， containing the full suite of</w:t>
      </w:r>
    </w:p>
    <w:p>
      <w:pPr>
        <w:pStyle w:val="正文内容"/>
        <w:spacing w:before="0" w:after="0" w:line="240" w:lineRule="auto"/>
        <w:ind w:left="0" w:right="0" w:firstLine="560"/>
        <w:jc w:val="both"/>
      </w:pPr>
      <w:r>
        <w:rPr>
          <w:rFonts w:ascii="Times New Roman" w:hAnsi="Times New Roman" w:cs="Times New Roman" w:eastAsia="仿宋"/>
          <w:b w:val="0"/>
          <w:sz w:val="28"/>
        </w:rPr>
        <w:t>Ethereum Improvement Proposals (EIPs) slated for the upgrade， marking what they describe as the final phase before the codebase is hardened and deployed to public testnets. “We're working on devnets with all the EIPs in them right now，” said Parithosh Jayanthi， a core developer at a devops engineer at the Ethereum Foundation. “This is the last phase before we work on hardening and then shipping the testnets. There's</w:t>
      </w:r>
    </w:p>
    <w:p>
      <w:pPr>
        <w:pStyle w:val="正文内容"/>
        <w:spacing w:before="0" w:after="0" w:line="240" w:lineRule="auto"/>
        <w:ind w:left="0" w:right="0" w:firstLine="560"/>
        <w:jc w:val="both"/>
      </w:pPr>
      <w:r>
        <w:rPr>
          <w:rFonts w:ascii="Times New Roman" w:hAnsi="Times New Roman" w:cs="Times New Roman" w:eastAsia="仿宋"/>
          <w:b w:val="0"/>
          <w:sz w:val="28"/>
        </w:rPr>
        <w:t>no fixed timeline， but we've made massive progress.” While a firm activation date for the upgrade has yet to be determined， Glamsterdam is currently expected to go live during the second half of the year. The upgrade is shaping up to be one of Ethereum's most ambitious since the network's transition to proof-of-stake in 2022 . Jayanthi described Glamsterdam as “probably the largest fork we've had since the Merge，” a</w:t>
      </w:r>
    </w:p>
    <w:p>
      <w:pPr>
        <w:pStyle w:val="正文内容"/>
        <w:spacing w:before="0" w:after="0" w:line="240" w:lineRule="auto"/>
        <w:ind w:left="0" w:right="0" w:firstLine="560"/>
        <w:jc w:val="both"/>
      </w:pPr>
      <w:r>
        <w:rPr>
          <w:rFonts w:ascii="Times New Roman" w:hAnsi="Times New Roman" w:cs="Times New Roman" w:eastAsia="仿宋"/>
          <w:b w:val="0"/>
          <w:sz w:val="28"/>
        </w:rPr>
        <w:t>dding that it will “change a lot of assumptions about Ethereum and set us up for much more scaling in the future.” Among the headline features are enshrined Proposer-Builder Separation (ePBS)， formally tracked as EIP-7732， and Block-level Access Lists (EIP-7928). ePBS would bring into Ethereum's core protocol a separation between the entities that build transaction blocks and those that propose them. Today， that proc</w:t>
      </w:r>
    </w:p>
    <w:p>
      <w:pPr>
        <w:pStyle w:val="正文内容"/>
        <w:spacing w:before="0" w:after="0" w:line="240" w:lineRule="auto"/>
        <w:ind w:left="0" w:right="0" w:firstLine="560"/>
        <w:jc w:val="both"/>
      </w:pPr>
      <w:r>
        <w:rPr>
          <w:rFonts w:ascii="Times New Roman" w:hAnsi="Times New Roman" w:cs="Times New Roman" w:eastAsia="仿宋"/>
          <w:b w:val="0"/>
          <w:sz w:val="28"/>
        </w:rPr>
        <w:t>ess largely relies offchain， where there are additional trust assumptions and centralization concerns. By moving the mechanism onchain， developers hope to reduce opportunities for manipulation related to maximal extractable value， or MEV. Another major proposal， Block-level Access Lists， would allow blocks to declare in advance which accounts and smart-contract data they intend to access. The change would enable Ethe</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原文标题：Ethereum’s biggest protocol overhaul in years moves into its final development stage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原文链接：https://www.coindesk.com/tech/2026/06/16/ethereum-s-biggest-protocol-overhaul-in-years-moves-into-its-final-development-stage</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VanEck比特币矿商AI转型面临约500亿美元资金缺口与执行风险</w:t>
      </w:r>
    </w:p>
    <w:p>
      <w:pPr>
        <w:spacing w:before="0" w:after="0" w:line="240" w:lineRule="auto"/>
        <w:ind w:left="0" w:right="0" w:firstLine="0"/>
        <w:jc w:val="both"/>
      </w:pPr>
      <w:r>
        <w:rPr>
          <w:rFonts w:ascii="Times New Roman" w:hAnsi="Times New Roman" w:cs="Times New Roman" w:eastAsia="仿宋"/>
          <w:b w:val="0"/>
          <w:sz w:val="28"/>
        </w:rPr>
        <w:t>· VanEck报告指出，比特币矿商转向AI基础设施面临约500亿美元短期资金缺口和高达2210亿美元长期资本需求。</w:t>
      </w:r>
    </w:p>
    <w:p>
      <w:pPr>
        <w:spacing w:before="0" w:after="0" w:line="240" w:lineRule="auto"/>
        <w:ind w:left="0" w:right="0" w:firstLine="0"/>
        <w:jc w:val="both"/>
      </w:pPr>
      <w:r>
        <w:rPr>
          <w:rFonts w:ascii="Times New Roman" w:hAnsi="Times New Roman" w:cs="Times New Roman" w:eastAsia="仿宋"/>
          <w:b w:val="0"/>
          <w:sz w:val="28"/>
        </w:rPr>
        <w:t>· 投资者焦点从AI合同公告转向执行风险，目前仅约25%的AI和高性能计算（HPC）租赁容量已交付。</w:t>
      </w:r>
    </w:p>
    <w:p>
      <w:pPr>
        <w:spacing w:before="0" w:after="0" w:line="240" w:lineRule="auto"/>
        <w:ind w:left="0" w:right="0" w:firstLine="0"/>
        <w:jc w:val="both"/>
      </w:pPr>
      <w:r>
        <w:rPr>
          <w:rFonts w:ascii="Times New Roman" w:hAnsi="Times New Roman" w:cs="Times New Roman" w:eastAsia="仿宋"/>
          <w:b w:val="0"/>
          <w:sz w:val="28"/>
        </w:rPr>
        <w:t>· VanEck预计估值将取决于“energized power”（可用运营电力基础设施量）和租户质量，青睐拥有投资级超大规模客户的矿商。</w:t>
      </w:r>
    </w:p>
    <w:p>
      <w:pPr>
        <w:pStyle w:val="正文内容"/>
        <w:spacing w:before="0" w:after="0" w:line="240" w:lineRule="auto"/>
        <w:ind w:left="0" w:right="0" w:firstLine="560"/>
        <w:jc w:val="both"/>
      </w:pPr>
      <w:r>
        <w:rPr>
          <w:rFonts w:ascii="Times New Roman" w:hAnsi="Times New Roman" w:cs="Times New Roman" w:eastAsia="仿宋"/>
          <w:b w:val="0"/>
          <w:sz w:val="28"/>
        </w:rPr>
        <w:t>过去两年，一些比特币矿商逐渐将自己重塑为AI基础设施提供商。然而，VanEck在一份新报告中指出，市场正开始超越对AI相关合同公告的热情，转而关注一个更根本的问题：矿商能否真正建设并为服务AI客户所需的大型数据中心项目提供融资。</w:t>
      </w:r>
    </w:p>
    <w:p>
      <w:pPr>
        <w:pStyle w:val="正文内容"/>
        <w:spacing w:before="0" w:after="0" w:line="240" w:lineRule="auto"/>
        <w:ind w:left="0" w:right="0" w:firstLine="560"/>
        <w:jc w:val="both"/>
      </w:pPr>
      <w:r>
        <w:rPr>
          <w:rFonts w:ascii="Times New Roman" w:hAnsi="Times New Roman" w:cs="Times New Roman" w:eastAsia="仿宋"/>
          <w:b w:val="0"/>
          <w:sz w:val="28"/>
        </w:rPr>
        <w:t>据VanEck估计，如果当前开发计划推进，该行业合计面临约500亿美元的短期资金缺口，长期资本需求约为2210亿美元。VanEck投资分析师Griffin MacMaster和数字资产研究主管Matthew Sigel表示：“执行而非签约将成为下一个溢价。”他们指出，该行业迄今仅交付了约25%已租赁给客户的AI和高性能计算（HPC）容量。未能达到建设里程碑的公司可能面临投资者的“结构性估值下调”风险。</w:t>
      </w:r>
    </w:p>
    <w:p>
      <w:pPr>
        <w:pStyle w:val="正文内容"/>
        <w:spacing w:before="0" w:after="0" w:line="240" w:lineRule="auto"/>
        <w:ind w:left="0" w:right="0" w:firstLine="560"/>
        <w:jc w:val="both"/>
      </w:pPr>
      <w:r>
        <w:rPr>
          <w:rFonts w:ascii="Times New Roman" w:hAnsi="Times New Roman" w:cs="Times New Roman" w:eastAsia="仿宋"/>
          <w:b w:val="0"/>
          <w:sz w:val="28"/>
        </w:rPr>
        <w:t>这份报告发布于比特币采矿业发生巨变之际。2024年减半后挖矿盈利能力下降，许多运营商开始将电力基础设施重新用于支持AI工作负载，押注科技公司愿意为电力和数据中心容量支付比比特币矿商高得多的价格。Core Scientific（CORZ）与AI初创公司CoreWeave签署了数十亿美元托管协议，帮助该公司从比特币矿商转型为AI基础设施提供商。</w:t>
      </w:r>
    </w:p>
    <w:p>
      <w:pPr>
        <w:pStyle w:val="正文内容"/>
        <w:spacing w:before="0" w:after="0" w:line="240" w:lineRule="auto"/>
        <w:ind w:left="0" w:right="0" w:firstLine="560"/>
        <w:jc w:val="both"/>
      </w:pPr>
      <w:r>
        <w:rPr>
          <w:rFonts w:ascii="Times New Roman" w:hAnsi="Times New Roman" w:cs="Times New Roman" w:eastAsia="仿宋"/>
          <w:b w:val="0"/>
          <w:sz w:val="28"/>
        </w:rPr>
        <w:t>TeraWulf（WULF）、Hut 8（HUT）、Iren（IREN）和Cipher Mining（CIFR）均已宣布计划向AI和HPC客户租赁电力和数据中心容量，而Marathon Digital（MARA）、Riot Platforms（RIOT）和CleanSpark（CLSK）则采取混合策略，在维持比特币挖矿业务的同时探索AI机会。</w:t>
      </w:r>
    </w:p>
    <w:p>
      <w:pPr>
        <w:pStyle w:val="正文内容"/>
        <w:spacing w:before="0" w:after="0" w:line="240" w:lineRule="auto"/>
        <w:ind w:left="0" w:right="0" w:firstLine="560"/>
        <w:jc w:val="both"/>
      </w:pPr>
      <w:r>
        <w:rPr>
          <w:rFonts w:ascii="Times New Roman" w:hAnsi="Times New Roman" w:cs="Times New Roman" w:eastAsia="仿宋"/>
          <w:b w:val="0"/>
          <w:sz w:val="28"/>
        </w:rPr>
        <w:t>尽管比特币（自1月以来下跌约24%）和其他大型加密资产今年迄今因加密价格持续下滑而大幅贬值，但比特币矿商板块整体录得上涨。RIOT年内迄今上涨近94%，CIFR上涨62%，其他矿商同期也录得类似涨幅。</w:t>
      </w:r>
    </w:p>
    <w:p>
      <w:pPr>
        <w:pStyle w:val="正文内容"/>
        <w:spacing w:before="0" w:after="0" w:line="240" w:lineRule="auto"/>
        <w:ind w:left="0" w:right="0" w:firstLine="560"/>
        <w:jc w:val="both"/>
      </w:pPr>
      <w:r>
        <w:rPr>
          <w:rFonts w:ascii="Times New Roman" w:hAnsi="Times New Roman" w:cs="Times New Roman" w:eastAsia="仿宋"/>
          <w:b w:val="0"/>
          <w:sz w:val="28"/>
        </w:rPr>
        <w:t>这一新叙事在过去一年推动了加密板块一些最大的股票涨幅，投资者已给予许多矿商估值，这些估值越来越多地反映其AI潜力而非挖矿业务。然而，VanEck认为估值仍很困难，因为投资者正试图为处于两个世界之间的公司定价：不断下滑的挖矿业务和尚未产生有意义现金流量的AI业务。</w:t>
      </w:r>
    </w:p>
    <w:p>
      <w:pPr>
        <w:pStyle w:val="正文内容"/>
        <w:spacing w:before="0" w:after="0" w:line="240" w:lineRule="auto"/>
        <w:ind w:left="0" w:right="0" w:firstLine="560"/>
        <w:jc w:val="both"/>
      </w:pPr>
      <w:r>
        <w:rPr>
          <w:rFonts w:ascii="Times New Roman" w:hAnsi="Times New Roman" w:cs="Times New Roman" w:eastAsia="仿宋"/>
          <w:b w:val="0"/>
          <w:sz w:val="28"/>
        </w:rPr>
        <w:t>目前，VanEck表示最清晰的估值指标是“energized power”（可用运营电力基础设施量）。已签署AI租赁合同的公司估值倍数超过energized power的10倍，而仍在推销未来项目的矿商交易倍数较低。VanEck还预计市场将更加重视租户质量。服务于投资级超大规模客户的运营商可能比与小型AI初创公司合作的运营商获得更低的融资成本和更高的估值。</w:t>
      </w:r>
    </w:p>
    <w:p>
      <w:pPr>
        <w:pStyle w:val="正文内容"/>
        <w:spacing w:before="0" w:after="0" w:line="240" w:lineRule="auto"/>
        <w:ind w:left="0" w:right="0" w:firstLine="560"/>
        <w:jc w:val="both"/>
      </w:pPr>
      <w:r>
        <w:rPr>
          <w:rFonts w:ascii="Times New Roman" w:hAnsi="Times New Roman" w:cs="Times New Roman" w:eastAsia="仿宋"/>
          <w:b w:val="0"/>
          <w:sz w:val="28"/>
        </w:rPr>
        <w:t>该报告指出，如果获得额外合同，HIVE、Bitdeer（BTDR）、Keel和IREN等公司有潜在上行空间，而MARA、CLSK和RIOT等公司仍与比特币价格表现更为紧密相关。VanEck认为，该行业的下一阶段将不再是宣布AI雄心，而是展示融资、建设和运营大规模基础设施的能力。赢家将是那些能够按时按预算将租赁的兆瓦电力转化为可使用数据中心的公司。</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原文标题：Bitcoin miners‘ AI pivot faces $50 billion reality check， says VanEck</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原文链接：https://www.coindesk.com/markets/2026/06/16/bitcoin-miners-ai-pivot-faces-usd50-billion-reality-check-says-vaneck</w:t>
      </w:r>
    </w:p>
    <w:p/>
    <w:p>
      <w:pPr>
        <w:pStyle w:val="文章一级标题"/>
        <w:spacing w:before="0" w:after="0" w:line="240" w:lineRule="auto"/>
        <w:ind w:left="0" w:right="0" w:firstLine="0"/>
        <w:jc w:val="center"/>
      </w:pPr>
      <w:r>
        <w:rPr>
          <w:rFonts w:ascii="Times New Roman" w:hAnsi="Times New Roman" w:cs="Times New Roman" w:eastAsia="黑体"/>
          <w:b w:val="0"/>
          <w:sz w:val="30"/>
        </w:rPr>
        <w:t>贝莱德比特币收入基金BITA开始交易运用备兑看涨策略产生月收入</w:t>
      </w:r>
    </w:p>
    <w:p>
      <w:pPr>
        <w:spacing w:before="0" w:after="0" w:line="240" w:lineRule="auto"/>
        <w:ind w:left="0" w:right="0" w:firstLine="0"/>
        <w:jc w:val="both"/>
      </w:pPr>
      <w:r>
        <w:rPr>
          <w:rFonts w:ascii="Times New Roman" w:hAnsi="Times New Roman" w:cs="Times New Roman" w:eastAsia="仿宋"/>
          <w:b w:val="0"/>
          <w:sz w:val="28"/>
        </w:rPr>
        <w:t>· 贝莱德推出iShares Bitcoin Premium Income ETF（BITA），旨在提供比特币敞口的同时通过备兑看涨策略产生月收入。</w:t>
      </w:r>
    </w:p>
    <w:p>
      <w:pPr>
        <w:spacing w:before="0" w:after="0" w:line="240" w:lineRule="auto"/>
        <w:ind w:left="0" w:right="0" w:firstLine="0"/>
        <w:jc w:val="both"/>
      </w:pPr>
      <w:r>
        <w:rPr>
          <w:rFonts w:ascii="Times New Roman" w:hAnsi="Times New Roman" w:cs="Times New Roman" w:eastAsia="仿宋"/>
          <w:b w:val="0"/>
          <w:sz w:val="28"/>
        </w:rPr>
        <w:t>· BITA持有现货比特币和iShares Bitcoin Trust（IBIT）股份，并卖出投资组合约25%至35%的看涨期权以收取权利金。</w:t>
      </w:r>
    </w:p>
    <w:p>
      <w:pPr>
        <w:spacing w:before="0" w:after="0" w:line="240" w:lineRule="auto"/>
        <w:ind w:left="0" w:right="0" w:firstLine="0"/>
        <w:jc w:val="both"/>
      </w:pPr>
      <w:r>
        <w:rPr>
          <w:rFonts w:ascii="Times New Roman" w:hAnsi="Times New Roman" w:cs="Times New Roman" w:eastAsia="仿宋"/>
          <w:b w:val="0"/>
          <w:sz w:val="28"/>
        </w:rPr>
        <w:t>· 贝莱德的目标投资者包括收入型投资者、寻求现金流的比特币持有者，以及那些因不产生现金流而回避比特币或黄金的投资者。</w:t>
      </w:r>
    </w:p>
    <w:p>
      <w:pPr>
        <w:pStyle w:val="正文内容"/>
        <w:spacing w:before="0" w:after="0" w:line="240" w:lineRule="auto"/>
        <w:ind w:left="0" w:right="0" w:firstLine="560"/>
        <w:jc w:val="both"/>
      </w:pPr>
      <w:r>
        <w:rPr>
          <w:rFonts w:ascii="Times New Roman" w:hAnsi="Times New Roman" w:cs="Times New Roman" w:eastAsia="仿宋"/>
          <w:b w:val="0"/>
          <w:sz w:val="28"/>
        </w:rPr>
        <w:t>周二（6月16日），贝莱德（BlackRock）最新比特币交易所交易基金——比特币溢价收入基金（Bitcoin Premium Income Fund， BITA）正式上市交易。该基金旨在通过备兑看涨策略（covered call strategy），为投资者提供比特币敞口的同时产生月收入。贝莱德美国股票ETF主管Jay Jacobs表示，这一产品并非基于市场时机，而是为了满足比特币资产类别成熟过程中不断增长的投资者需求。</w:t>
      </w:r>
    </w:p>
    <w:p>
      <w:pPr>
        <w:pStyle w:val="正文内容"/>
        <w:spacing w:before="0" w:after="0" w:line="240" w:lineRule="auto"/>
        <w:ind w:left="0" w:right="0" w:firstLine="560"/>
        <w:jc w:val="both"/>
      </w:pPr>
      <w:r>
        <w:rPr>
          <w:rFonts w:ascii="Times New Roman" w:hAnsi="Times New Roman" w:cs="Times New Roman" w:eastAsia="仿宋"/>
          <w:b w:val="0"/>
          <w:sz w:val="28"/>
        </w:rPr>
        <w:t>BITA持有现货比特币及iShares比特币信托（iShares Bitcoin Trust， IBIT）股份，然后卖出投资组合中约25%至35%的看涨期权，以收取权利金。该基金的推出正值比特币难以走出熊市之际，目前比特币交易价格约为67，000美元，年内下跌约23%。</w:t>
      </w:r>
    </w:p>
    <w:p>
      <w:pPr>
        <w:pStyle w:val="正文内容"/>
        <w:spacing w:before="0" w:after="0" w:line="240" w:lineRule="auto"/>
        <w:ind w:left="0" w:right="0" w:firstLine="560"/>
        <w:jc w:val="both"/>
      </w:pPr>
      <w:r>
        <w:rPr>
          <w:rFonts w:ascii="Times New Roman" w:hAnsi="Times New Roman" w:cs="Times New Roman" w:eastAsia="仿宋"/>
          <w:b w:val="0"/>
          <w:sz w:val="28"/>
        </w:rPr>
        <w:t>IBIT于2024年1月上线，已累计近490亿美元资产，成为市场上最大的现货比特币ETF。然而，受比特币价格下跌以及对其他资产类别（包括备受期待的SpaceX和Anthropic首次公开募股）的热情影响，IBIT自年初以来遭遇了显著的资金流出。</w:t>
      </w:r>
    </w:p>
    <w:p>
      <w:pPr>
        <w:pStyle w:val="正文内容"/>
        <w:spacing w:before="0" w:after="0" w:line="240" w:lineRule="auto"/>
        <w:ind w:left="0" w:right="0" w:firstLine="560"/>
        <w:jc w:val="both"/>
      </w:pPr>
      <w:r>
        <w:rPr>
          <w:rFonts w:ascii="Times New Roman" w:hAnsi="Times New Roman" w:cs="Times New Roman" w:eastAsia="仿宋"/>
          <w:b w:val="0"/>
          <w:sz w:val="28"/>
        </w:rPr>
        <w:t>Jay Jacobs在采访中表示，贝莱德认为该新基金有多个潜在受众。第一类是收入型投资者，寻求在股息股票和债券等传统收入来源之外进行多元化配置。第二类是仍看好比特币但希望从其头寸中获得现金流的比特币持有者。Jacobs说：“可以想象，有些人将很大一部分财富配置在比特币上，但希望有一个收入流来支持生活。”</w:t>
      </w:r>
    </w:p>
    <w:p>
      <w:pPr>
        <w:pStyle w:val="正文内容"/>
        <w:spacing w:before="0" w:after="0" w:line="240" w:lineRule="auto"/>
        <w:ind w:left="0" w:right="0" w:firstLine="560"/>
        <w:jc w:val="both"/>
      </w:pPr>
      <w:r>
        <w:rPr>
          <w:rFonts w:ascii="Times New Roman" w:hAnsi="Times New Roman" w:cs="Times New Roman" w:eastAsia="仿宋"/>
          <w:b w:val="0"/>
          <w:sz w:val="28"/>
        </w:rPr>
        <w:t>第三类则是那些历史上因资产不产生现金流而回避比特币或黄金的投资者。Jacobs指出：“多年来，我们一直遇到这类投资者——‘如果黄金不产生任何现金流，我怎么能把它纳入投资组合？’该产品也试图解决这一市场。”</w:t>
      </w:r>
    </w:p>
    <w:p>
      <w:pPr>
        <w:pStyle w:val="正文内容"/>
        <w:spacing w:before="0" w:after="0" w:line="240" w:lineRule="auto"/>
        <w:ind w:left="0" w:right="0" w:firstLine="560"/>
        <w:jc w:val="both"/>
      </w:pPr>
      <w:r>
        <w:rPr>
          <w:rFonts w:ascii="Times New Roman" w:hAnsi="Times New Roman" w:cs="Times New Roman" w:eastAsia="仿宋"/>
          <w:b w:val="0"/>
          <w:sz w:val="28"/>
        </w:rPr>
        <w:t>尽管部分IBIT投资者可能将资产转入BITA，但Jacobs预计该基金将吸引许多新的比特币市场参与者。他说：“有些人可能从IBIT转向BITA，但主要由收入驱动的收入型投资者或需要将现金流与资产关联的成熟投资者，他们可能目前并非IBIT持有者。”</w:t>
      </w:r>
    </w:p>
    <w:p>
      <w:pPr>
        <w:pStyle w:val="正文内容"/>
        <w:spacing w:before="0" w:after="0" w:line="240" w:lineRule="auto"/>
        <w:ind w:left="0" w:right="0" w:firstLine="560"/>
        <w:jc w:val="both"/>
      </w:pPr>
      <w:r>
        <w:rPr>
          <w:rFonts w:ascii="Times New Roman" w:hAnsi="Times New Roman" w:cs="Times New Roman" w:eastAsia="仿宋"/>
          <w:b w:val="0"/>
          <w:sz w:val="28"/>
        </w:rPr>
        <w:t>Jacobs认为，BITA的推出标志着投资者看待比特币的方式正在演变。“我认为这代表了该资产的成熟，”他表示。围绕IBIT的深度期权市场的发展以及投资者对比特币理解的增长，催生了新的参与方式需求，而不仅仅是简单的买入并持有。</w:t>
      </w:r>
    </w:p>
    <w:p>
      <w:pPr>
        <w:pStyle w:val="正文内容"/>
        <w:spacing w:before="0" w:after="0" w:line="240" w:lineRule="auto"/>
        <w:ind w:left="0" w:right="0" w:firstLine="560"/>
        <w:jc w:val="both"/>
      </w:pPr>
      <w:r>
        <w:rPr>
          <w:rFonts w:ascii="Times New Roman" w:hAnsi="Times New Roman" w:cs="Times New Roman" w:eastAsia="仿宋"/>
          <w:b w:val="0"/>
          <w:sz w:val="28"/>
        </w:rPr>
        <w:t>“这绝对是IBIT的补充，”Jacobs补充道，“绝大多数人仍希望跟踪比特币现货价格，但我们听到了许多关于人们如何参与这一资产的观点，比特币附带补充性收入这一需求确实多次出现在我们的客户中。”</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原文标题：BlackRock's new bitcoin income fund offers cash flow alongside BTC exposure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原文链接：https://www.coindesk.com/markets/2026/06/16/blackrock-s-new-bitcoin-income-fund-offers-cash-flow-alongside-btc-exposure</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IMF警告尼日利亚稳定币采用规模加剧风险</w:t>
      </w:r>
    </w:p>
    <w:p>
      <w:pPr>
        <w:spacing w:before="0" w:after="0" w:line="240" w:lineRule="auto"/>
        <w:ind w:left="0" w:right="0" w:firstLine="0"/>
        <w:jc w:val="both"/>
      </w:pPr>
      <w:r>
        <w:rPr>
          <w:rFonts w:ascii="Times New Roman" w:hAnsi="Times New Roman" w:cs="Times New Roman" w:eastAsia="仿宋"/>
          <w:b w:val="0"/>
          <w:sz w:val="28"/>
        </w:rPr>
        <w:t>· 国际货币基金组织（IMF）一份新报告指出，尼日利亚的稳定币（stablecoin）采用规模“惊人”，加剧了包括“数字美元化”（digital dollarization）和非法金融在内的风险。</w:t>
      </w:r>
    </w:p>
    <w:p>
      <w:pPr>
        <w:spacing w:before="0" w:after="0" w:line="240" w:lineRule="auto"/>
        <w:ind w:left="0" w:right="0" w:firstLine="0"/>
        <w:jc w:val="both"/>
      </w:pPr>
      <w:r>
        <w:rPr>
          <w:rFonts w:ascii="Times New Roman" w:hAnsi="Times New Roman" w:cs="Times New Roman" w:eastAsia="仿宋"/>
          <w:b w:val="0"/>
          <w:sz w:val="28"/>
        </w:rPr>
        <w:t>· 稳定币带来了金融包容性和更便宜的跨境支付等好处，但削弱了国内货币政策，且传统监控系统难以有效追踪交易。</w:t>
      </w:r>
    </w:p>
    <w:p>
      <w:pPr>
        <w:spacing w:before="0" w:after="0" w:line="240" w:lineRule="auto"/>
        <w:ind w:left="0" w:right="0" w:firstLine="0"/>
        <w:jc w:val="both"/>
      </w:pPr>
      <w:r>
        <w:rPr>
          <w:rFonts w:ascii="Times New Roman" w:hAnsi="Times New Roman" w:cs="Times New Roman" w:eastAsia="仿宋"/>
          <w:b w:val="0"/>
          <w:sz w:val="28"/>
        </w:rPr>
        <w:t>· IMF研究人员认为，压制稳定币使用的措施“可能只部分有效”，呼吁采取务实方法，在允许创新的同时管理风险。</w:t>
      </w:r>
    </w:p>
    <w:p>
      <w:pPr>
        <w:pStyle w:val="正文内容"/>
        <w:spacing w:before="0" w:after="0" w:line="240" w:lineRule="auto"/>
        <w:ind w:left="0" w:right="0" w:firstLine="560"/>
        <w:jc w:val="both"/>
      </w:pPr>
      <w:r>
        <w:rPr>
          <w:rFonts w:ascii="Times New Roman" w:hAnsi="Times New Roman" w:cs="Times New Roman" w:eastAsia="仿宋"/>
          <w:b w:val="0"/>
          <w:sz w:val="28"/>
        </w:rPr>
        <w:t>国际货币基金组织（IMF）最新报告强调，尼日利亚稳定币（stablecoin）的采用规模“惊人”，相应地，风险也“更加突出”。报告指出，美元挂钩的稳定币在尼日利亚的普及凸显了这类加密资产的好处，同时也使其风险进一步加剧。</w:t>
      </w:r>
    </w:p>
    <w:p>
      <w:pPr>
        <w:pStyle w:val="正文内容"/>
        <w:spacing w:before="0" w:after="0" w:line="240" w:lineRule="auto"/>
        <w:ind w:left="0" w:right="0" w:firstLine="560"/>
        <w:jc w:val="both"/>
      </w:pPr>
      <w:r>
        <w:rPr>
          <w:rFonts w:ascii="Times New Roman" w:hAnsi="Times New Roman" w:cs="Times New Roman" w:eastAsia="仿宋"/>
          <w:b w:val="0"/>
          <w:sz w:val="28"/>
        </w:rPr>
        <w:t>IMF研究人员注意到，稳定币已“成为有意义的跨境支付渠道”。数据显示，2023年7月至2024年6月间，尼日利亚收到了约590亿美元的加密资产流入；自2019年以来，该国占撒哈拉以南非洲地区稳定币流入量的60%。</w:t>
      </w:r>
    </w:p>
    <w:p>
      <w:pPr>
        <w:pStyle w:val="正文内容"/>
        <w:spacing w:before="0" w:after="0" w:line="240" w:lineRule="auto"/>
        <w:ind w:left="0" w:right="0" w:firstLine="560"/>
        <w:jc w:val="both"/>
      </w:pPr>
      <w:r>
        <w:rPr>
          <w:rFonts w:ascii="Times New Roman" w:hAnsi="Times New Roman" w:cs="Times New Roman" w:eastAsia="仿宋"/>
          <w:b w:val="0"/>
          <w:sz w:val="28"/>
        </w:rPr>
        <w:t>虽然报告中承认稳定币带来“明确的好处”，包括金融包容性和更便宜的跨境支付——这些支付方式削弱了传统汇款渠道——但IMF同时指出了货币主权和金融诚信方面的担忧。美元挂钩的稳定币可能构成“数字形式的本币替代（digital dollarization）”，从而削弱国内货币政策效力；而传统金融监控系统未能有效“捕捉”稳定币交易，匿名性则增加了“非法金融”的风险。</w:t>
      </w:r>
    </w:p>
    <w:p>
      <w:pPr>
        <w:pStyle w:val="正文内容"/>
        <w:spacing w:before="0" w:after="0" w:line="240" w:lineRule="auto"/>
        <w:ind w:left="0" w:right="0" w:firstLine="560"/>
        <w:jc w:val="both"/>
      </w:pPr>
      <w:r>
        <w:rPr>
          <w:rFonts w:ascii="Times New Roman" w:hAnsi="Times New Roman" w:cs="Times New Roman" w:eastAsia="仿宋"/>
          <w:b w:val="0"/>
          <w:sz w:val="28"/>
        </w:rPr>
        <w:t>报告称：“试图压制稳定币使用的措施很可能只部分有效。”因此，研究人员敦促采取“务实”的应对方式，在“管理风险”的同时允许创新。</w:t>
      </w:r>
    </w:p>
    <w:p>
      <w:pPr>
        <w:pStyle w:val="正文内容"/>
        <w:spacing w:before="0" w:after="0" w:line="240" w:lineRule="auto"/>
        <w:ind w:left="0" w:right="0" w:firstLine="560"/>
        <w:jc w:val="both"/>
      </w:pPr>
      <w:r>
        <w:rPr>
          <w:rFonts w:ascii="Times New Roman" w:hAnsi="Times New Roman" w:cs="Times New Roman" w:eastAsia="仿宋"/>
          <w:b w:val="0"/>
          <w:sz w:val="28"/>
        </w:rPr>
        <w:t>作者建议通过保障货币稳定来对抗“数字本币替代”，并赞扬了尼日利亚近期的宏观经济改革和更紧缩的货币政策。其他风险管理策略包括：加强监管，通过“将区块链分析与奈拉-稳定币兑换报告相结合”来改进数据，以及升级现有支付基础设施以“减少对稳定币等不受监管渠道的依赖”。</w:t>
      </w:r>
    </w:p>
    <w:p>
      <w:pPr>
        <w:pStyle w:val="正文内容"/>
        <w:spacing w:before="0" w:after="0" w:line="240" w:lineRule="auto"/>
        <w:ind w:left="0" w:right="0" w:firstLine="560"/>
        <w:jc w:val="both"/>
      </w:pPr>
      <w:r>
        <w:rPr>
          <w:rFonts w:ascii="Times New Roman" w:hAnsi="Times New Roman" w:cs="Times New Roman" w:eastAsia="仿宋"/>
          <w:b w:val="0"/>
          <w:sz w:val="28"/>
        </w:rPr>
        <w:t>过去几年中，IMF多次批评稳定币，警告它们可能削弱央行控制并放大金融危机。就在上周，这家国际金融机构还敦促“密切监控”尼泊尔的加密采用情况，强调了“规避资本管制或大规模存款外流”的风险。</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原文标题：Scale of Stablecoin Adoption in Nigeria Makes Risks ‘More Pronounced’， Says IMF</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原文链接：https://decrypt.co/371287/scale-stablecoin-adoption-nigeria-risks-more-pronounced-imf</w:t>
      </w:r>
    </w:p>
    <w:p/>
    <w:p>
      <w:pPr>
        <w:pStyle w:val="文章一级标题"/>
        <w:spacing w:before="0" w:after="0" w:line="240" w:lineRule="auto"/>
        <w:ind w:left="0" w:right="0" w:firstLine="0"/>
        <w:jc w:val="center"/>
      </w:pPr>
      <w:r>
        <w:rPr>
          <w:rFonts w:ascii="Times New Roman" w:hAnsi="Times New Roman" w:cs="Times New Roman" w:eastAsia="黑体"/>
          <w:b w:val="0"/>
          <w:sz w:val="30"/>
        </w:rPr>
        <w:t>Strategy的MichaelSaylor表示比特币不需要以太坊风格的收益</w:t>
      </w:r>
    </w:p>
    <w:p>
      <w:pPr>
        <w:spacing w:before="0" w:after="0" w:line="240" w:lineRule="auto"/>
        <w:ind w:left="0" w:right="0" w:firstLine="0"/>
        <w:jc w:val="both"/>
      </w:pPr>
      <w:r>
        <w:rPr>
          <w:rFonts w:ascii="Times New Roman" w:hAnsi="Times New Roman" w:cs="Times New Roman" w:eastAsia="仿宋"/>
          <w:b w:val="0"/>
          <w:sz w:val="28"/>
        </w:rPr>
        <w:t>· Strategy执行主席Michael Saylor表示比特币不需要质押、通胀或协议级收益机制，回报应通过围绕BTC构建的金融产品产生。</w:t>
      </w:r>
    </w:p>
    <w:p>
      <w:pPr>
        <w:spacing w:before="0" w:after="0" w:line="240" w:lineRule="auto"/>
        <w:ind w:left="0" w:right="0" w:firstLine="0"/>
        <w:jc w:val="both"/>
      </w:pPr>
      <w:r>
        <w:rPr>
          <w:rFonts w:ascii="Times New Roman" w:hAnsi="Times New Roman" w:cs="Times New Roman" w:eastAsia="仿宋"/>
          <w:b w:val="0"/>
          <w:sz w:val="28"/>
        </w:rPr>
        <w:t>· Saylor提出五层“数字资产堆栈”，将比特币定位为信贷、货币、收益和股权结构的基础，并称比特币应保持“纯数字资本”，无需为了创造投资者回报而“变成以太坊”。</w:t>
      </w:r>
    </w:p>
    <w:p>
      <w:pPr>
        <w:spacing w:before="0" w:after="0" w:line="240" w:lineRule="auto"/>
        <w:ind w:left="0" w:right="0" w:firstLine="0"/>
        <w:jc w:val="both"/>
      </w:pPr>
      <w:r>
        <w:rPr>
          <w:rFonts w:ascii="Times New Roman" w:hAnsi="Times New Roman" w:cs="Times New Roman" w:eastAsia="仿宋"/>
          <w:b w:val="0"/>
          <w:sz w:val="28"/>
        </w:rPr>
        <w:t>· Saylor认为比特币的波动性是“高能量资本”的自然特征，并非缺陷；而STRC等信贷工具可以通过资本结构设计来平抑价格波动。</w:t>
      </w:r>
    </w:p>
    <w:p>
      <w:pPr>
        <w:pStyle w:val="正文内容"/>
        <w:spacing w:before="0" w:after="0" w:line="240" w:lineRule="auto"/>
        <w:ind w:left="0" w:right="0" w:firstLine="560"/>
        <w:jc w:val="both"/>
      </w:pPr>
      <w:r>
        <w:rPr>
          <w:rFonts w:ascii="Times New Roman" w:hAnsi="Times New Roman" w:cs="Times New Roman" w:eastAsia="仿宋"/>
          <w:b w:val="0"/>
          <w:sz w:val="28"/>
        </w:rPr>
        <w:t>Strategy（前MicroStrategy）执行主席Michael Saylor表示，比特币（BTC）不需要质押、通胀或协议级的收益机制。他主张投资者回报应当来自围绕比特币构建的金融产品。Saylor在周二（6月16日）的X平台发文称，比特币应保持“纯数字资本”的地位，“它不需要为了创造投资者回报而变成以太坊”。这一框架强化了Strategy将比特币作为国库储备资产的策略：通过围绕公司比特币持仓构建金融产品来产生回报。Strategy是上市公司中比特币持仓量最大的企业。</w:t>
      </w:r>
    </w:p>
    <w:p>
      <w:pPr>
        <w:pStyle w:val="正文内容"/>
        <w:spacing w:before="0" w:after="0" w:line="240" w:lineRule="auto"/>
        <w:ind w:left="0" w:right="0" w:firstLine="560"/>
        <w:jc w:val="both"/>
      </w:pPr>
      <w:r>
        <w:rPr>
          <w:rFonts w:ascii="Times New Roman" w:hAnsi="Times New Roman" w:cs="Times New Roman" w:eastAsia="仿宋"/>
          <w:b w:val="0"/>
          <w:sz w:val="28"/>
        </w:rPr>
        <w:t>Saylor在帖子中勾勒了一个五层“数字资产堆栈”（Digital Asset Stack），将比特币定位为信贷、货币、收益和股权结构的基础层。这一框架的核心是“数字信贷”（digital credit）——围绕比特币持仓构建的金融工具，旨在在降低BTC价格波动敞口的同时产生回报。根据这一结构，比特币扮演抵押品角色，股权吸收大部分价格风险，而信贷工具则获得更稳定的收益。Saylor反复提及Strategy式的证券，例如公司发行的永久优先股STRC，将其定位为“数字信贷”的关键示例。他强调，STRC类工具不仅是公司产品，更是通过资本市场工程建立在比特币之上的更广泛资产类别的范例。</w:t>
      </w:r>
    </w:p>
    <w:p>
      <w:pPr>
        <w:pStyle w:val="正文内容"/>
        <w:spacing w:before="0" w:after="0" w:line="240" w:lineRule="auto"/>
        <w:ind w:left="0" w:right="0" w:firstLine="560"/>
        <w:jc w:val="both"/>
      </w:pPr>
      <w:r>
        <w:rPr>
          <w:rFonts w:ascii="Times New Roman" w:hAnsi="Times New Roman" w:cs="Times New Roman" w:eastAsia="仿宋"/>
          <w:b w:val="0"/>
          <w:sz w:val="28"/>
        </w:rPr>
        <w:t>Saylor认为比特币的波动性“并非缺陷”，而是“高能量资本”的自然特征——由于比特币稀缺、全球化且全天候交易，价格可能出现剧烈波动。在他的模型中，STRC等信贷工具通过在资本结构中位于比特币之上，旨在平抑这些价格波动。尽管Saylor并未在帖子中直接讨论STRC的波动性，但他指出信贷工具可能因市场压力、流动性和投资者需求等因素而经历不同程度的风险。“重点不在于数字信贷总是有一个固定的波动率数字——它没有，”Saylor说。据纳斯达克数据，Strategy的优先股STRC周一（6月15日）收于95.20美元，下跌1.45%。该股票面值为100美元，结构设计使其交易价格接近面值。</w:t>
      </w:r>
    </w:p>
    <w:p>
      <w:pPr>
        <w:pStyle w:val="正文内容"/>
        <w:spacing w:before="0" w:after="0" w:line="240" w:lineRule="auto"/>
        <w:ind w:left="0" w:right="0" w:firstLine="560"/>
        <w:jc w:val="both"/>
      </w:pPr>
      <w:r>
        <w:rPr>
          <w:rFonts w:ascii="Times New Roman" w:hAnsi="Times New Roman" w:cs="Times New Roman" w:eastAsia="仿宋"/>
          <w:b w:val="0"/>
          <w:sz w:val="28"/>
        </w:rPr>
        <w:t>Saylor的言论强化了他将比特币视为“数字资本”、将Strategy定位为围绕比特币发行“数字信贷”的框架。这包括有时需要出售比特币来支持该结构。上周在布拉格BTC Prague大会上，Saylor告诉Cointelegraph：“如果公司的政策是‘我们不会出售比特币’，那么信贷就没有价值，股权也没有价值。”</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原文标题：Bitcoin doesn't need Ethereum-style yield， says Strategy's Michael Saylor</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原文链接：https://cointelegraph.com/news/strategy-saylor-bitcoin-credit-alternative-crypto-yield</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2026-06-10 18:04 至 2026-06-17 18:04（北京时间，最近7天）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