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SEC委员减至两人一项隐藏规则改变加密权力</w:t>
      </w:r>
    </w:p>
    <w:p>
      <w:pPr>
        <w:pStyle w:val="ListParagraph"/>
        <w:spacing w:before="0" w:after="0" w:line="360" w:lineRule="auto"/>
        <w:ind w:left="0" w:firstLine="0"/>
      </w:pPr>
      <w:r>
        <w:rPr>
          <w:rFonts w:ascii="Times New Roman" w:hAnsi="Times New Roman" w:cs="Times New Roman" w:eastAsia="楷体"/>
          <w:b w:val="0"/>
          <w:sz w:val="28"/>
        </w:rPr>
        <w:t>· FinCEN撤回加密货币混币申报提案反对声浪令规则终止</w:t>
      </w:r>
    </w:p>
    <w:p>
      <w:pPr>
        <w:pStyle w:val="ListParagraph"/>
        <w:spacing w:before="0" w:after="0" w:line="360" w:lineRule="auto"/>
        <w:ind w:left="0" w:firstLine="0"/>
      </w:pPr>
      <w:r>
        <w:rPr>
          <w:rFonts w:ascii="Times New Roman" w:hAnsi="Times New Roman" w:cs="Times New Roman" w:eastAsia="楷体"/>
          <w:b w:val="0"/>
          <w:sz w:val="28"/>
        </w:rPr>
        <w:t>· 欧洲央行决策者警告缺乏数字欧元或致碎片化</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SolanaDvP结算要求每笔交易100%预付现金</w:t>
      </w:r>
    </w:p>
    <w:p>
      <w:pPr>
        <w:pStyle w:val="ListParagraph"/>
        <w:spacing w:before="0" w:after="0" w:line="360" w:lineRule="auto"/>
        <w:ind w:left="0" w:firstLine="0"/>
      </w:pPr>
      <w:r>
        <w:rPr>
          <w:rFonts w:ascii="Times New Roman" w:hAnsi="Times New Roman" w:cs="Times New Roman" w:eastAsia="楷体"/>
          <w:b w:val="0"/>
          <w:sz w:val="28"/>
        </w:rPr>
        <w:t>· Cardano推出代币标准允许发行方冻结、扣押和限制资产</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CoinbasePro将回归Deribit整合创建CoinbaseGlobalExchange</w:t>
      </w:r>
    </w:p>
    <w:p>
      <w:pPr>
        <w:pStyle w:val="ListParagraph"/>
        <w:spacing w:before="0" w:after="0" w:line="360" w:lineRule="auto"/>
        <w:ind w:left="0" w:firstLine="0"/>
      </w:pPr>
      <w:r>
        <w:rPr>
          <w:rFonts w:ascii="Times New Roman" w:hAnsi="Times New Roman" w:cs="Times New Roman" w:eastAsia="楷体"/>
          <w:b w:val="0"/>
          <w:sz w:val="28"/>
        </w:rPr>
        <w:t>· Spiko完成9000万美元B轮融资用于在各市场拓展代币化现金基金</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RaoulPal资本开始从AI轮动回加密货币</w:t>
      </w:r>
    </w:p>
    <w:p>
      <w:pPr>
        <w:pStyle w:val="ListParagraph"/>
        <w:spacing w:before="0" w:after="0" w:line="360" w:lineRule="auto"/>
        <w:ind w:left="0" w:firstLine="0"/>
      </w:pPr>
      <w:r>
        <w:rPr>
          <w:rFonts w:ascii="Times New Roman" w:hAnsi="Times New Roman" w:cs="Times New Roman" w:eastAsia="楷体"/>
          <w:b w:val="0"/>
          <w:sz w:val="28"/>
        </w:rPr>
        <w:t>· 调查多数富裕投资者加仓加密资产理财顾问采用迟缓</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SEC委员减至两人一项隐藏规则改变加密权力</w:t>
      </w:r>
    </w:p>
    <w:p>
      <w:pPr>
        <w:spacing w:before="0" w:after="0" w:line="240" w:lineRule="auto"/>
        <w:ind w:left="0" w:right="0" w:firstLine="0"/>
        <w:jc w:val="both"/>
      </w:pPr>
      <w:r>
        <w:rPr>
          <w:rFonts w:ascii="Times New Roman" w:hAnsi="Times New Roman" w:cs="Times New Roman" w:eastAsia="仿宋"/>
          <w:b w:val="0"/>
          <w:sz w:val="28"/>
        </w:rPr>
        <w:t>· Hester Peirce 的10月2日退出使 Paul Atkins 和 Mark Uyeda 成为 SEC 的两名列名委员。</w:t>
      </w:r>
    </w:p>
    <w:p>
      <w:pPr>
        <w:spacing w:before="0" w:after="0" w:line="240" w:lineRule="auto"/>
        <w:ind w:left="0" w:right="0" w:firstLine="0"/>
        <w:jc w:val="both"/>
      </w:pPr>
      <w:r>
        <w:rPr>
          <w:rFonts w:ascii="Times New Roman" w:hAnsi="Times New Roman" w:cs="Times New Roman" w:eastAsia="仿宋"/>
          <w:b w:val="0"/>
          <w:sz w:val="28"/>
        </w:rPr>
        <w:t>· 新例外允许一名合资格成员在其他所有在任成员就某一事项被取消资格时构成法定人数。</w:t>
      </w:r>
    </w:p>
    <w:p>
      <w:pPr>
        <w:spacing w:before="0" w:after="0" w:line="240" w:lineRule="auto"/>
        <w:ind w:left="0" w:right="0" w:firstLine="0"/>
        <w:jc w:val="both"/>
      </w:pPr>
      <w:r>
        <w:rPr>
          <w:rFonts w:ascii="Times New Roman" w:hAnsi="Times New Roman" w:cs="Times New Roman" w:eastAsia="仿宋"/>
          <w:b w:val="0"/>
          <w:sz w:val="28"/>
        </w:rPr>
        <w:t>· 托管与发行规则仍为提案，代币化股票访问救济已是已发布的有条件命令。</w:t>
      </w:r>
    </w:p>
    <w:p>
      <w:pPr>
        <w:pStyle w:val="正文内容"/>
        <w:spacing w:before="0" w:after="0" w:line="240" w:lineRule="auto"/>
        <w:ind w:left="0" w:right="0" w:firstLine="560"/>
        <w:jc w:val="both"/>
      </w:pPr>
      <w:r>
        <w:rPr>
          <w:rFonts w:ascii="Times New Roman" w:hAnsi="Times New Roman" w:cs="Times New Roman" w:eastAsia="仿宋"/>
          <w:b w:val="0"/>
          <w:sz w:val="28"/>
        </w:rPr>
        <w:t>美国证券交易委员会（U.S. Securities and Exchange Commission，SEC）的 Hester Peirce 于10月2日辞职，使 Paul Atkins 和 Mark Uyeda 成为 SEC 的两名列名委员。Peirce 的辞职信日期为9月21日，离职生效日为10月2日。10月3日更新的现任委员名单列出主席 Atkins 和委员 Uyeda。SEC 的历史服务表也记录 Peirce 的任期于10月2日结束。在当前名单下，这一组合使未来有关加密政策的委员会决定落在更少的人手中。</w:t>
      </w:r>
    </w:p>
    <w:p>
      <w:pPr>
        <w:pStyle w:val="正文内容"/>
        <w:spacing w:before="0" w:after="0" w:line="240" w:lineRule="auto"/>
        <w:ind w:left="0" w:right="0" w:firstLine="560"/>
        <w:jc w:val="both"/>
      </w:pPr>
      <w:r>
        <w:rPr>
          <w:rFonts w:ascii="Times New Roman" w:hAnsi="Times New Roman" w:cs="Times New Roman" w:eastAsia="仿宋"/>
          <w:b w:val="0"/>
          <w:sz w:val="28"/>
        </w:rPr>
        <w:t>一项新规则允许一名合资格成员在某一特定事项中、当其他所有在任成员都被取消资格时构成法定人数（quorum）。该一人例外称，它取决于对具体事项的取消资格，并允许剩余两名委员中的任何一人在那种情况下作为委员会法定人数行事。9月30日、10月2日生效的法定人数修正案修改了 17 CFR 200.41，即定义多少委员必须合资格才能处理委员会事务的规则。</w:t>
      </w:r>
    </w:p>
    <w:p>
      <w:pPr>
        <w:pStyle w:val="正文内容"/>
        <w:spacing w:before="0" w:after="0" w:line="240" w:lineRule="auto"/>
        <w:ind w:left="0" w:right="0" w:firstLine="560"/>
        <w:jc w:val="both"/>
      </w:pPr>
      <w:r>
        <w:rPr>
          <w:rFonts w:ascii="Times New Roman" w:hAnsi="Times New Roman" w:cs="Times New Roman" w:eastAsia="仿宋"/>
          <w:b w:val="0"/>
          <w:sz w:val="28"/>
        </w:rPr>
        <w:t>既有空缺例外已经允许在任委员人数在少于三人时构成法定人数。两个已填补席位并未阻止 SEC 运作，该例外甚至已覆盖只有一名在任委员的委员会。此前，针对取消资格的单独条款在其他人被取消资格后容纳两名合资格委员。该修正案将该条款扩展到一名合资格委员，适用于相关事项，即当所有其他在任成员被取消资格时。</w:t>
      </w:r>
    </w:p>
    <w:p>
      <w:pPr>
        <w:pStyle w:val="正文内容"/>
        <w:spacing w:before="0" w:after="0" w:line="240" w:lineRule="auto"/>
        <w:ind w:left="0" w:right="0" w:firstLine="560"/>
        <w:jc w:val="both"/>
      </w:pPr>
      <w:r>
        <w:rPr>
          <w:rFonts w:ascii="Times New Roman" w:hAnsi="Times New Roman" w:cs="Times New Roman" w:eastAsia="仿宋"/>
          <w:b w:val="0"/>
          <w:sz w:val="28"/>
        </w:rPr>
        <w:t>在当前名单下，如果 Atkins 就某一事项被取消资格，Uyeda 可以构成该事项的法定人数，反之亦然。这一区分使空缺、未出席和回避不会变得可以互换。一名合资格委员对某项提案的反对不符合新条款的取消资格条件。在已发布的规则中，SEC 解释取消资格会出现，机构需要继续处理事务。SEC 称该修正案促进灵活性与终局性，并认定其涉及内部管理与组织而非实质性监管。这一行政理由伴随着一项对谁能作出委员会决定具有实际后果的改变。修正后的法定人数条款也覆盖本来被取消资格的成员。</w:t>
      </w:r>
    </w:p>
    <w:p>
      <w:pPr>
        <w:pStyle w:val="正文内容"/>
        <w:spacing w:before="0" w:after="0" w:line="240" w:lineRule="auto"/>
        <w:ind w:left="0" w:right="0" w:firstLine="560"/>
        <w:jc w:val="both"/>
      </w:pPr>
      <w:r>
        <w:rPr>
          <w:rFonts w:ascii="Times New Roman" w:hAnsi="Times New Roman" w:cs="Times New Roman" w:eastAsia="仿宋"/>
          <w:b w:val="0"/>
          <w:sz w:val="28"/>
        </w:rPr>
        <w:t>与此同时，Peirce 的信表示相信 Atkins、Uyeda 和 SEC 工作人员将继续在个人选择与合理的监管保护之间取得平衡。加密措施仍需要不同种类的行动。一项待定规则制定是10月1日的托管提案。该提案涉及受监管投资公司如何托管加密证券和类似投资、注册顾问如何托管客户加密基金和证券，以及相关现代化与报告要求。</w:t>
      </w:r>
    </w:p>
    <w:p>
      <w:pPr>
        <w:pStyle w:val="正文内容"/>
        <w:spacing w:before="0" w:after="0" w:line="240" w:lineRule="auto"/>
        <w:ind w:left="0" w:right="0" w:firstLine="560"/>
        <w:jc w:val="both"/>
      </w:pPr>
      <w:r>
        <w:rPr>
          <w:rFonts w:ascii="Times New Roman" w:hAnsi="Times New Roman" w:cs="Times New Roman" w:eastAsia="仿宋"/>
          <w:b w:val="0"/>
          <w:sz w:val="28"/>
        </w:rPr>
        <w:t>在 Atkins 的10月声明中，他将托管改革与发行提案、委员会解释以及工作人员代币化工作并列。该清单涵盖几种监管行动，委员和工作人员角色不同。工作人员的不采取行动和代币化证券声明是 Atkins 所描述政策清单的单独部分。SEC 的页面仍将该发布归类为提案，并现列出12月7日供公众评论。较小的委员会或新的法定人数例外，并不会把拟议的托管框架变成可操作的许可。该行动还提供了一个具体例子，说明议程在 Peirce 离开前如何推进。</w:t>
      </w:r>
    </w:p>
    <w:p>
      <w:pPr>
        <w:pStyle w:val="正文内容"/>
        <w:spacing w:before="0" w:after="0" w:line="240" w:lineRule="auto"/>
        <w:ind w:left="0" w:right="0" w:firstLine="560"/>
        <w:jc w:val="both"/>
      </w:pPr>
      <w:r>
        <w:rPr>
          <w:rFonts w:ascii="Times New Roman" w:hAnsi="Times New Roman" w:cs="Times New Roman" w:eastAsia="仿宋"/>
          <w:b w:val="0"/>
          <w:sz w:val="28"/>
        </w:rPr>
        <w:t>10月投票记录显示，Atkins、Peirce 和 Uyeda 都在10月1日批准了 release IA-7023。那些是在她辞职和法定人数修正案生效前，批准提出托管规则。第二项待定措施是8月18日发布、8月21日公布的《加密资产条例》（Regulation Crypto Assets）。它将为涉及加密资产的某些投资合同创设发行豁免，同时附带披露要求以及持续的反欺诈和反操纵义务。它还提出一项关于投资合同状态的有条件安全港。代币化股票访问处于不同阶段。</w:t>
      </w:r>
    </w:p>
    <w:p>
      <w:pPr>
        <w:pStyle w:val="正文内容"/>
        <w:spacing w:before="0" w:after="0" w:line="240" w:lineRule="auto"/>
        <w:ind w:left="0" w:right="0" w:firstLine="560"/>
        <w:jc w:val="both"/>
      </w:pPr>
      <w:r>
        <w:rPr>
          <w:rFonts w:ascii="Times New Roman" w:hAnsi="Times New Roman" w:cs="Times New Roman" w:eastAsia="仿宋"/>
          <w:b w:val="0"/>
          <w:sz w:val="28"/>
        </w:rPr>
        <w:t>9月17日创新豁免（Innovation Exemption）是一项临时有条件豁免令（conditional exemptive order），覆盖指定的代币化国家市场系统（National Market System，NMS）股票交易场所和某些流动性提供者。该命令的事实表描述了五年有条件救济，并对股票代码和数量、同等股东权利、公开可审计智能合约以及运营披露设有限制。对于由非关联第三方代币化的股票，它还要求发行人通知和提出反对的机会。这些条件仍是合资格参与者可用路径的一部分。</w:t>
      </w:r>
    </w:p>
    <w:p>
      <w:pPr>
        <w:pStyle w:val="正文内容"/>
        <w:spacing w:before="0" w:after="0" w:line="240" w:lineRule="auto"/>
        <w:ind w:left="0" w:right="0" w:firstLine="560"/>
        <w:jc w:val="both"/>
      </w:pPr>
      <w:r>
        <w:rPr>
          <w:rFonts w:ascii="Times New Roman" w:hAnsi="Times New Roman" w:cs="Times New Roman" w:eastAsia="仿宋"/>
          <w:b w:val="0"/>
          <w:sz w:val="28"/>
        </w:rPr>
        <w:t>未来关于该救济的委员会决定将在适用的法定人数安排下作出，但新法定人数规则本身既不扩大豁免也不取消其保障。对于在委员之间传阅的决定，SEC 的 seriatim 规则称，在每名成员向秘书报告投票或打算不参与之前，事项不算最终；任何委员都可以要求将传阅事项撤回并安排联合审议。根据 17 CFR 200.60，委员在涉及利益和关系的事项中应仔细权衡资格，而单个成员的资格由该成员决定。对于加密企业，下一步具体里程碑是10月20日发行规则评论截止日、12月7日托管截止日，以及后续委员会对这些提案或有条件交易救济的任何决定。</w:t>
      </w:r>
    </w:p>
    <w:p>
      <w:pPr>
        <w:pStyle w:val="正文内容"/>
        <w:spacing w:before="0" w:after="0" w:line="240" w:lineRule="auto"/>
        <w:ind w:left="0" w:right="0" w:firstLine="560"/>
        <w:jc w:val="both"/>
      </w:pPr>
      <w:r>
        <w:rPr>
          <w:rFonts w:ascii="Times New Roman" w:hAnsi="Times New Roman" w:cs="Times New Roman" w:eastAsia="仿宋"/>
          <w:b w:val="0"/>
          <w:sz w:val="28"/>
        </w:rPr>
        <w:t>法定授权条款允许通过已发布的命令或规则进行授权，同时将一般规则制定排除在该授权之外；它保留委员会审查，并允许一名成员将已授权行动提交委员会审查。《行政程序法》（Administrative Procedure Act）为覆盖的规则制定提供通知和评论要求，并附有特定例外；SEC 认定其组织性法定人数修正案不需要通知和评论，并不是对未来加密规则的普遍豁免。根据司法审查法，审查法院可以撤销被认定违法、超越法定权限或未遵循必要程序的机构行动。减少合资格委员人数并不提供额外的实质性权限，也不使决定免受审查。SEC 目前发布的10月计票包含三委员托管投票，没有列出之后的一人加密决定；该机构称其通常只在事项最终时发布投票，因此该计票支持的是有限观察，而非关于每一项行动的详尽主张。</w:t>
      </w:r>
    </w:p>
    <w:p>
      <w:pPr>
        <w:pStyle w:val="正文内容"/>
        <w:spacing w:before="0" w:after="0" w:line="240" w:lineRule="auto"/>
        <w:ind w:left="0" w:right="0" w:firstLine="560"/>
        <w:jc w:val="both"/>
      </w:pPr>
      <w:r>
        <w:rPr>
          <w:rFonts w:ascii="Times New Roman" w:hAnsi="Times New Roman" w:cs="Times New Roman" w:eastAsia="仿宋"/>
          <w:b w:val="0"/>
          <w:sz w:val="28"/>
        </w:rPr>
        <w:t>其法律状态、记录的批准以及参与成员将显示缩减后的委员会如何运作。新例外保留了通过取消资格采取行动的能力。其对加密政策的影响将取决于出现哪些具体事项、谁仍合资格审议它们，以及他们作出的决定。</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原文标题：SEC drops to 2 members， and 1 hidden rule shifts crypto power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原文链接：https://cryptoslate.com/sec-drops-to-2-members-and-1-hidden-rule-shifts-crypto-power/</w:t>
      </w:r>
    </w:p>
    <w:p/>
    <w:p>
      <w:pPr>
        <w:pStyle w:val="文章一级标题"/>
        <w:spacing w:before="0" w:after="0" w:line="240" w:lineRule="auto"/>
        <w:ind w:left="0" w:right="0" w:firstLine="0"/>
        <w:jc w:val="center"/>
      </w:pPr>
      <w:r>
        <w:rPr>
          <w:rFonts w:ascii="Times New Roman" w:hAnsi="Times New Roman" w:cs="Times New Roman" w:eastAsia="黑体"/>
          <w:b w:val="0"/>
          <w:sz w:val="30"/>
        </w:rPr>
        <w:t>FinCEN撤回加密货币混币申报提案反对声浪令规则终止</w:t>
      </w:r>
    </w:p>
    <w:p>
      <w:pPr>
        <w:spacing w:before="0" w:after="0" w:line="240" w:lineRule="auto"/>
        <w:ind w:left="0" w:right="0" w:firstLine="0"/>
        <w:jc w:val="both"/>
      </w:pPr>
      <w:r>
        <w:rPr>
          <w:rFonts w:ascii="Times New Roman" w:hAnsi="Times New Roman" w:cs="Times New Roman" w:eastAsia="仿宋"/>
          <w:b w:val="0"/>
          <w:sz w:val="28"/>
        </w:rPr>
        <w:t>· 美国财政部下属的金融犯罪执法网络（Financial Crimes Enforcement Network，FinCEN）于10月5日宣布，撤回一项针对加密货币混币（crypto mixing）的申报提案；该提案覆盖范围超出专门混币服务，且从未成为已实施要求。</w:t>
      </w:r>
    </w:p>
    <w:p>
      <w:pPr>
        <w:spacing w:before="0" w:after="0" w:line="240" w:lineRule="auto"/>
        <w:ind w:left="0" w:right="0" w:firstLine="0"/>
        <w:jc w:val="both"/>
      </w:pPr>
      <w:r>
        <w:rPr>
          <w:rFonts w:ascii="Times New Roman" w:hAnsi="Times New Roman" w:cs="Times New Roman" w:eastAsia="仿宋"/>
          <w:b w:val="0"/>
          <w:sz w:val="28"/>
        </w:rPr>
        <w:t>· FinCEN同时撤回2023年关于国际加密货币混币属于主要洗钱关切交易类别的认定，以及拟议的记录保存与报告规则；撤回通知预定于10月6日在《联邦公报》（Federal Register）发布，并在发布时生效。</w:t>
      </w:r>
    </w:p>
    <w:p>
      <w:pPr>
        <w:spacing w:before="0" w:after="0" w:line="240" w:lineRule="auto"/>
        <w:ind w:left="0" w:right="0" w:firstLine="0"/>
        <w:jc w:val="both"/>
      </w:pPr>
      <w:r>
        <w:rPr>
          <w:rFonts w:ascii="Times New Roman" w:hAnsi="Times New Roman" w:cs="Times New Roman" w:eastAsia="仿宋"/>
          <w:b w:val="0"/>
          <w:sz w:val="28"/>
        </w:rPr>
        <w:t>· 受涵盖的加密货币货币传输机构（money transmitters）仍须遵守注册、基于风险的反洗钱（anti-money laundering，AML）项目、记录保存和可疑活动报告等要求；符合条件的转账仍须遵守资金转移规则（Funds Travel Rule）。</w:t>
      </w:r>
    </w:p>
    <w:p>
      <w:pPr>
        <w:pStyle w:val="正文内容"/>
        <w:spacing w:before="0" w:after="0" w:line="240" w:lineRule="auto"/>
        <w:ind w:left="0" w:right="0" w:firstLine="560"/>
        <w:jc w:val="both"/>
      </w:pPr>
      <w:r>
        <w:rPr>
          <w:rFonts w:ascii="Times New Roman" w:hAnsi="Times New Roman" w:cs="Times New Roman" w:eastAsia="仿宋"/>
          <w:b w:val="0"/>
          <w:sz w:val="28"/>
        </w:rPr>
        <w:t>美国财政部（US Treasury）下属的金融犯罪执法网络（Financial Crimes Enforcement Network，FinCEN）于10月5日宣布，正在撤回一项针对加密货币混币（crypto mixing）的申报提案。加密货币混币指用于掩盖一笔交易的来源、去向或金额的技术。FinCEN同时撤回了其2023年关于国际加密货币混币属于主要洗钱关切交易类别的认定，以及拟议的记录保存与报告规则。</w:t>
      </w:r>
    </w:p>
    <w:p>
      <w:pPr>
        <w:pStyle w:val="正文内容"/>
        <w:spacing w:before="0" w:after="0" w:line="240" w:lineRule="auto"/>
        <w:ind w:left="0" w:right="0" w:firstLine="560"/>
        <w:jc w:val="both"/>
      </w:pPr>
      <w:r>
        <w:rPr>
          <w:rFonts w:ascii="Times New Roman" w:hAnsi="Times New Roman" w:cs="Times New Roman" w:eastAsia="仿宋"/>
          <w:b w:val="0"/>
          <w:sz w:val="28"/>
        </w:rPr>
        <w:t>该提案的覆盖范围超出专门的混币服务，原本会要求金融机构报告受涵盖交易及其客户的信息。撤回通知列明10月6日为其预定在《联邦公报》（Federal Register）发布的日期，并说明撤回将在发布时生效。FinCEN提到评论者担忧，认为该提案的宽泛定义可能抑制合法活动，并带来巨大的报告负担。</w:t>
      </w:r>
    </w:p>
    <w:p>
      <w:pPr>
        <w:pStyle w:val="正文内容"/>
        <w:spacing w:before="0" w:after="0" w:line="240" w:lineRule="auto"/>
        <w:ind w:left="0" w:right="0" w:firstLine="560"/>
        <w:jc w:val="both"/>
      </w:pPr>
      <w:r>
        <w:rPr>
          <w:rFonts w:ascii="Times New Roman" w:hAnsi="Times New Roman" w:cs="Times New Roman" w:eastAsia="仿宋"/>
          <w:b w:val="0"/>
          <w:sz w:val="28"/>
        </w:rPr>
        <w:t>拟议定义无论采用何种协议或服务都适用。文中列举的例子包括：汇集资金、用代码协调交易、拆分转账、将资金通过一系列一次性钱包路由、在加密资产之间兑换，以及引入用户发起的延迟。拟议义务在受涵盖的美国国内金融机构知道、怀疑或有理由怀疑其经手、通过其进行或向其进行的加密货币交易，涉及在美国境内或涉及美国以外司法管辖区的混币时适用。</w:t>
      </w:r>
    </w:p>
    <w:p>
      <w:pPr>
        <w:pStyle w:val="正文内容"/>
        <w:spacing w:before="0" w:after="0" w:line="240" w:lineRule="auto"/>
        <w:ind w:left="0" w:right="0" w:firstLine="560"/>
        <w:jc w:val="both"/>
      </w:pPr>
      <w:r>
        <w:rPr>
          <w:rFonts w:ascii="Times New Roman" w:hAnsi="Times New Roman" w:cs="Times New Roman" w:eastAsia="仿宋"/>
          <w:b w:val="0"/>
          <w:sz w:val="28"/>
        </w:rPr>
        <w:t>该拟议定义还排除了银行、经纪自营商和货币服务企业用于执行交易的某些内部流程，前提是它们保留来源和目的地记录，并在法律要求时提供这些记录。对钱包用户而言，拟议的隐私暴露来自机构报告。这些报告原本会包括机构所持有的钱包地址、交易哈希、IP地址和客户身份信息。机构还将必须记录合规情况。</w:t>
      </w:r>
    </w:p>
    <w:p>
      <w:pPr>
        <w:pStyle w:val="正文内容"/>
        <w:spacing w:before="0" w:after="0" w:line="240" w:lineRule="auto"/>
        <w:ind w:left="0" w:right="0" w:firstLine="560"/>
        <w:jc w:val="both"/>
      </w:pPr>
      <w:r>
        <w:rPr>
          <w:rFonts w:ascii="Times New Roman" w:hAnsi="Times New Roman" w:cs="Times New Roman" w:eastAsia="仿宋"/>
          <w:b w:val="0"/>
          <w:sz w:val="28"/>
        </w:rPr>
        <w:t>FinCEN撤回了一项未实施的加密货币混币申报计划，而现有的传输机构、转账和可疑活动规则仍然保留。根据FinCEN现有指引，受涵盖的加密货币货币传输机构（money transmitters）仍须遵守注册、基于风险的反洗钱（anti-money laundering，AML）项目、适用的客户检查、记录保存和可疑活动报告。符合条件的转账也仍须遵守资金转移规则（Funds Travel Rule）。</w:t>
      </w:r>
    </w:p>
    <w:p>
      <w:pPr>
        <w:pStyle w:val="正文内容"/>
        <w:spacing w:before="0" w:after="0" w:line="240" w:lineRule="auto"/>
        <w:ind w:left="0" w:right="0" w:firstLine="560"/>
        <w:jc w:val="both"/>
      </w:pPr>
      <w:r>
        <w:rPr>
          <w:rFonts w:ascii="Times New Roman" w:hAnsi="Times New Roman" w:cs="Times New Roman" w:eastAsia="仿宋"/>
          <w:b w:val="0"/>
          <w:sz w:val="28"/>
        </w:rPr>
        <w:t>根据FinCEN的指引，其区分了接受并转发价值的匿名化服务与匿名化软件供应商。仅提供工具本身不会使某人成为货币传输机构，但运营传输业务则可能使其成为货币传输机构。一个非托管钱包（unhosted wallet）用户为自身购买商品或服务付款，不因此成为货币传输机构。</w:t>
      </w:r>
    </w:p>
    <w:p>
      <w:pPr>
        <w:pStyle w:val="正文内容"/>
        <w:spacing w:before="0" w:after="0" w:line="240" w:lineRule="auto"/>
        <w:ind w:left="0" w:right="0" w:firstLine="560"/>
        <w:jc w:val="both"/>
      </w:pPr>
      <w:r>
        <w:rPr>
          <w:rFonts w:ascii="Times New Roman" w:hAnsi="Times New Roman" w:cs="Times New Roman" w:eastAsia="仿宋"/>
          <w:b w:val="0"/>
          <w:sz w:val="28"/>
        </w:rPr>
        <w:t>FinCEN的公告还涉及2020年12月发布的另一项非托管钱包提案。这是一项单独的提案。该提案已在2024年春季监管议程中列为于2024年4月12日撤回。新通知表示，该机构将不再采取进一步行动。FinCEN还表示，它将继续监测加密货币混币用于洗钱、恐怖融资和其他非法活动，并可能采取进一步措施。在评估与隐私相关的交易时，金融机构现有的义务仍然相关。</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原文标题：FinCEN drops crypto mixing proposal as backlash kills rule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原文链接：https://cryptoslate.com/fincen-drops-crypto-mixing-proposal-as-backlash-kills-rule/</w:t>
      </w:r>
    </w:p>
    <w:p/>
    <w:p>
      <w:pPr>
        <w:pStyle w:val="文章一级标题"/>
        <w:spacing w:before="0" w:after="0" w:line="240" w:lineRule="auto"/>
        <w:ind w:left="0" w:right="0" w:firstLine="0"/>
        <w:jc w:val="center"/>
      </w:pPr>
      <w:r>
        <w:rPr>
          <w:rFonts w:ascii="Times New Roman" w:hAnsi="Times New Roman" w:cs="Times New Roman" w:eastAsia="黑体"/>
          <w:b w:val="0"/>
          <w:sz w:val="30"/>
        </w:rPr>
        <w:t>欧洲央行决策者警告缺乏数字欧元或致碎片化</w:t>
      </w:r>
    </w:p>
    <w:p>
      <w:pPr>
        <w:spacing w:before="0" w:after="0" w:line="240" w:lineRule="auto"/>
        <w:ind w:left="0" w:right="0" w:firstLine="0"/>
        <w:jc w:val="both"/>
      </w:pPr>
      <w:r>
        <w:rPr>
          <w:rFonts w:ascii="Times New Roman" w:hAnsi="Times New Roman" w:cs="Times New Roman" w:eastAsia="仿宋"/>
          <w:b w:val="0"/>
          <w:sz w:val="28"/>
        </w:rPr>
        <w:t>· 欧洲央行执行委员会成员Piero Cipollone警告，若没有央行推出数字欧元，其他实体可能提供替代方案，这可能削弱欧洲的“韧性与货币主权”。</w:t>
      </w:r>
    </w:p>
    <w:p>
      <w:pPr>
        <w:spacing w:before="0" w:after="0" w:line="240" w:lineRule="auto"/>
        <w:ind w:left="0" w:right="0" w:firstLine="0"/>
        <w:jc w:val="both"/>
      </w:pPr>
      <w:r>
        <w:rPr>
          <w:rFonts w:ascii="Times New Roman" w:hAnsi="Times New Roman" w:cs="Times New Roman" w:eastAsia="仿宋"/>
          <w:b w:val="0"/>
          <w:sz w:val="28"/>
        </w:rPr>
        <w:t>· Cipollone表示，若缺乏“面向所有日常交易类型的泛欧数字支付解决方案”，代币化平台之间的碎片化可能性可能上升。</w:t>
      </w:r>
    </w:p>
    <w:p>
      <w:pPr>
        <w:spacing w:before="0" w:after="0" w:line="240" w:lineRule="auto"/>
        <w:ind w:left="0" w:right="0" w:firstLine="0"/>
        <w:jc w:val="both"/>
      </w:pPr>
      <w:r>
        <w:rPr>
          <w:rFonts w:ascii="Times New Roman" w:hAnsi="Times New Roman" w:cs="Times New Roman" w:eastAsia="仿宋"/>
          <w:b w:val="0"/>
          <w:sz w:val="28"/>
        </w:rPr>
        <w:t>· 欧洲央行尚未决定是否发行数字欧元，但计划在2026年底前完成立法程序；若推进，将于2027年下半年启动为期12个月的试点，并可能在2029年发行。</w:t>
      </w:r>
    </w:p>
    <w:p>
      <w:pPr>
        <w:pStyle w:val="正文内容"/>
        <w:spacing w:before="0" w:after="0" w:line="240" w:lineRule="auto"/>
        <w:ind w:left="0" w:right="0" w:firstLine="560"/>
        <w:jc w:val="both"/>
      </w:pPr>
      <w:r>
        <w:rPr>
          <w:rFonts w:ascii="Times New Roman" w:hAnsi="Times New Roman" w:cs="Times New Roman" w:eastAsia="仿宋"/>
          <w:b w:val="0"/>
          <w:sz w:val="28"/>
        </w:rPr>
        <w:t>欧洲央行（ECB）执行委员会成员Piero Cipollone警告称，若没有央行推出数字欧元，其他实体可能提供替代方案，这可能会削弱欧洲的“韧性与货币主权”。据原文，Cipollone是在一次周二举行的MNI Connect网络直播中发表上述言论的。</w:t>
      </w:r>
    </w:p>
    <w:p>
      <w:pPr>
        <w:pStyle w:val="正文内容"/>
        <w:spacing w:before="0" w:after="0" w:line="240" w:lineRule="auto"/>
        <w:ind w:left="0" w:right="0" w:firstLine="560"/>
        <w:jc w:val="both"/>
      </w:pPr>
      <w:r>
        <w:rPr>
          <w:rFonts w:ascii="Times New Roman" w:hAnsi="Times New Roman" w:cs="Times New Roman" w:eastAsia="仿宋"/>
          <w:b w:val="0"/>
          <w:sz w:val="28"/>
        </w:rPr>
        <w:t>他表示，若缺乏一种“面向所有日常交易类型的泛欧数字支付解决方案”，代币化平台之间的碎片化可能性可能上升。他称，欧洲央行的目标应当是创建一种可在银行之间兑换、用于日常交易的数字欧元。</w:t>
      </w:r>
    </w:p>
    <w:p>
      <w:pPr>
        <w:pStyle w:val="正文内容"/>
        <w:spacing w:before="0" w:after="0" w:line="240" w:lineRule="auto"/>
        <w:ind w:left="0" w:right="0" w:firstLine="560"/>
        <w:jc w:val="both"/>
      </w:pPr>
      <w:r>
        <w:rPr>
          <w:rFonts w:ascii="Times New Roman" w:hAnsi="Times New Roman" w:cs="Times New Roman" w:eastAsia="仿宋"/>
          <w:b w:val="0"/>
          <w:sz w:val="28"/>
        </w:rPr>
        <w:t>“我们的目标不是取代银行的角色，”Cipollone说。“相反，数字欧元将为银行提供它们在数字时代竞争所需的基础设施，并帮助它们扩大自身解决方案的覆盖范围和使用场景。”</w:t>
      </w:r>
    </w:p>
    <w:p>
      <w:pPr>
        <w:pStyle w:val="正文内容"/>
        <w:spacing w:before="0" w:after="0" w:line="240" w:lineRule="auto"/>
        <w:ind w:left="0" w:right="0" w:firstLine="560"/>
        <w:jc w:val="both"/>
      </w:pPr>
      <w:r>
        <w:rPr>
          <w:rFonts w:ascii="Times New Roman" w:hAnsi="Times New Roman" w:cs="Times New Roman" w:eastAsia="仿宋"/>
          <w:b w:val="0"/>
          <w:sz w:val="28"/>
        </w:rPr>
        <w:t>原文在导语中写道，一位欧洲央行执行委员会成员表示，数字欧元的潜在引入不会“取代银行的角色”，而是确保银行在欧盟货币体系中拥有角色。</w:t>
      </w:r>
    </w:p>
    <w:p>
      <w:pPr>
        <w:pStyle w:val="正文内容"/>
        <w:spacing w:before="0" w:after="0" w:line="240" w:lineRule="auto"/>
        <w:ind w:left="0" w:right="0" w:firstLine="560"/>
        <w:jc w:val="both"/>
      </w:pPr>
      <w:r>
        <w:rPr>
          <w:rFonts w:ascii="Times New Roman" w:hAnsi="Times New Roman" w:cs="Times New Roman" w:eastAsia="仿宋"/>
          <w:b w:val="0"/>
          <w:sz w:val="28"/>
        </w:rPr>
        <w:t>据Cipollone称，欧洲央行尚未决定是否发行数字欧元，但计划在2026年底前完成立法程序。若央行推进该项目，它将从2027年下半年开始运行一个为期12个月的试点项目，并可能在2029年发行。</w:t>
      </w:r>
    </w:p>
    <w:p>
      <w:pPr>
        <w:pStyle w:val="正文内容"/>
        <w:spacing w:before="0" w:after="0" w:line="240" w:lineRule="auto"/>
        <w:ind w:left="0" w:right="0" w:firstLine="560"/>
        <w:jc w:val="both"/>
      </w:pPr>
      <w:r>
        <w:rPr>
          <w:rFonts w:ascii="Times New Roman" w:hAnsi="Times New Roman" w:cs="Times New Roman" w:eastAsia="仿宋"/>
          <w:b w:val="0"/>
          <w:sz w:val="28"/>
        </w:rPr>
        <w:t>原文指出，欧洲央行最初于2020年10月提出引入数字欧元，作为一种央行数字货币（central bank digital currency，CBDC），以补充现金作为一种数字支付选项。</w:t>
      </w:r>
    </w:p>
    <w:p>
      <w:pPr>
        <w:pStyle w:val="正文内容"/>
        <w:spacing w:before="0" w:after="0" w:line="240" w:lineRule="auto"/>
        <w:ind w:left="0" w:right="0" w:firstLine="560"/>
        <w:jc w:val="both"/>
      </w:pPr>
      <w:r>
        <w:rPr>
          <w:rFonts w:ascii="Times New Roman" w:hAnsi="Times New Roman" w:cs="Times New Roman" w:eastAsia="仿宋"/>
          <w:b w:val="0"/>
          <w:sz w:val="28"/>
        </w:rPr>
        <w:t>批评CBDC的人士认为，这种数字货币可能使欧盟官员有能力监控并可能控制居民的支出。Cipollone在2025年9月表示，“数字欧元将确保所有欧洲人始终能够用一种免费、普遍接受的数字支付手段进行支付，即使在重大中断的情况下也是如此。”</w:t>
      </w:r>
    </w:p>
    <w:p>
      <w:pPr>
        <w:pStyle w:val="正文内容"/>
        <w:spacing w:before="0" w:after="0" w:line="240" w:lineRule="auto"/>
        <w:ind w:left="0" w:right="0" w:firstLine="560"/>
        <w:jc w:val="both"/>
      </w:pPr>
      <w:r>
        <w:rPr>
          <w:rFonts w:ascii="Times New Roman" w:hAnsi="Times New Roman" w:cs="Times New Roman" w:eastAsia="仿宋"/>
          <w:b w:val="0"/>
          <w:sz w:val="28"/>
        </w:rPr>
        <w:t>原文的相关阅读为“ECB defends digital euro privacy as CBDCs face global scrutiny”。该报道由Turner Wright撰写，Robert Lakin编辑，发布于2026年10月6日；原文标题为“ECB policymaker warns of fragmentation without digital euro”，来源为Cointelegraph。</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原文标题：ECB policymaker warns of fragmentation without digital euro</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原文链接：https://cointelegraph.com/news/european-central-bank-fragmentation-digital-euro</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SolanaDvP结算要求每笔交易100%预付现金</w:t>
      </w:r>
    </w:p>
    <w:p>
      <w:pPr>
        <w:spacing w:before="0" w:after="0" w:line="240" w:lineRule="auto"/>
        <w:ind w:left="0" w:right="0" w:firstLine="0"/>
        <w:jc w:val="both"/>
      </w:pPr>
      <w:r>
        <w:rPr>
          <w:rFonts w:ascii="Times New Roman" w:hAnsi="Times New Roman" w:cs="Times New Roman" w:eastAsia="仿宋"/>
          <w:b w:val="0"/>
          <w:sz w:val="28"/>
        </w:rPr>
        <w:t>· Solana DvP要求托管两腿在授权方结算双边交换前完全注资。</w:t>
      </w:r>
    </w:p>
    <w:p>
      <w:pPr>
        <w:spacing w:before="0" w:after="0" w:line="240" w:lineRule="auto"/>
        <w:ind w:left="0" w:right="0" w:firstLine="0"/>
        <w:jc w:val="both"/>
      </w:pPr>
      <w:r>
        <w:rPr>
          <w:rFonts w:ascii="Times New Roman" w:hAnsi="Times New Roman" w:cs="Times New Roman" w:eastAsia="仿宋"/>
          <w:b w:val="0"/>
          <w:sz w:val="28"/>
        </w:rPr>
        <w:t>· 更快重用收益可能减少被占用的流动性，但融资与净额结算仍在外部，启动节省未经测量。</w:t>
      </w:r>
    </w:p>
    <w:p>
      <w:pPr>
        <w:spacing w:before="0" w:after="0" w:line="240" w:lineRule="auto"/>
        <w:ind w:left="0" w:right="0" w:firstLine="0"/>
        <w:jc w:val="both"/>
      </w:pPr>
      <w:r>
        <w:rPr>
          <w:rFonts w:ascii="Times New Roman" w:hAnsi="Times New Roman" w:cs="Times New Roman" w:eastAsia="仿宋"/>
          <w:b w:val="0"/>
          <w:sz w:val="28"/>
        </w:rPr>
        <w:t>· 已记录的部署和早先审计不能确立实际商业采用，也不能验证与当前部署代码匹配。</w:t>
      </w:r>
    </w:p>
    <w:p>
      <w:pPr>
        <w:pStyle w:val="正文内容"/>
        <w:spacing w:before="0" w:after="0" w:line="240" w:lineRule="auto"/>
        <w:ind w:left="0" w:right="0" w:firstLine="560"/>
        <w:jc w:val="both"/>
      </w:pPr>
      <w:r>
        <w:rPr>
          <w:rFonts w:ascii="Times New Roman" w:hAnsi="Times New Roman" w:cs="Times New Roman" w:eastAsia="仿宋"/>
          <w:b w:val="0"/>
          <w:sz w:val="28"/>
        </w:rPr>
        <w:t>Solana基金会于10月6日公布Solana DvP，作为券款对付（Delivery versus Payment，DvP）结算的开源标准。其已公布的设计要求，在一笔交易执行之前，现金腿与资产腿必须全额可用。原子交易可以防止买方付款却未收到资产，但该方案既不提供现金，也不提供达到该状态所需的融资。公告没有给出经测量的资本节省结果或总成本比较。</w:t>
      </w:r>
    </w:p>
    <w:p>
      <w:pPr>
        <w:pStyle w:val="正文内容"/>
        <w:spacing w:before="0" w:after="0" w:line="240" w:lineRule="auto"/>
        <w:ind w:left="0" w:right="0" w:firstLine="560"/>
        <w:jc w:val="both"/>
      </w:pPr>
      <w:r>
        <w:rPr>
          <w:rFonts w:ascii="Times New Roman" w:hAnsi="Times New Roman" w:cs="Times New Roman" w:eastAsia="仿宋"/>
          <w:b w:val="0"/>
          <w:sz w:val="28"/>
        </w:rPr>
        <w:t>该设计将每一方的代币放入各自的托管账户，然后同时移动双方约定的金额。它还明确排除净额结算（netting），即在支付剩余余额之前抵消债务的过程。机构可能因更短等待收益而受益，但仍需为每笔提交的交易筹集全额资金。</w:t>
      </w:r>
    </w:p>
    <w:p>
      <w:pPr>
        <w:pStyle w:val="正文内容"/>
        <w:spacing w:before="0" w:after="0" w:line="240" w:lineRule="auto"/>
        <w:ind w:left="0" w:right="0" w:firstLine="560"/>
        <w:jc w:val="both"/>
      </w:pPr>
      <w:r>
        <w:rPr>
          <w:rFonts w:ascii="Times New Roman" w:hAnsi="Times New Roman" w:cs="Times New Roman" w:eastAsia="仿宋"/>
          <w:b w:val="0"/>
          <w:sz w:val="28"/>
        </w:rPr>
        <w:t>根据已公布的程序限制，一条交易记录只覆盖两方之间的一次交换。两腿都必须是Solana上的代币账户，不允许部分成交。通过另一条轨道完成的银行账户付款，不属于这种原子交换。在已记录的源代码提交中，结算代码在转移任何约定金额之前，会检查每个托管账户余额至少达到该腿约定金额。</w:t>
      </w:r>
    </w:p>
    <w:p>
      <w:pPr>
        <w:pStyle w:val="正文内容"/>
        <w:spacing w:before="0" w:after="0" w:line="240" w:lineRule="auto"/>
        <w:ind w:left="0" w:right="0" w:firstLine="560"/>
        <w:jc w:val="both"/>
      </w:pPr>
      <w:r>
        <w:rPr>
          <w:rFonts w:ascii="Times New Roman" w:hAnsi="Times New Roman" w:cs="Times New Roman" w:eastAsia="仿宋"/>
          <w:b w:val="0"/>
          <w:sz w:val="28"/>
        </w:rPr>
        <w:t>资金不足的一方会导致结算失败，多余的代币会返还给指定方，而不会增加对手方收到的金额。经济责任仍由参与者及其融资方承担。买方必须安排现金代币，卖方必须安排资产代币；贷款人可以通过单独安排为任一仓位融资，但这会把融资关系留在DvP程序之外。</w:t>
      </w:r>
    </w:p>
    <w:p>
      <w:pPr>
        <w:pStyle w:val="正文内容"/>
        <w:spacing w:before="0" w:after="0" w:line="240" w:lineRule="auto"/>
        <w:ind w:left="0" w:right="0" w:firstLine="560"/>
        <w:jc w:val="both"/>
      </w:pPr>
      <w:r>
        <w:rPr>
          <w:rFonts w:ascii="Times New Roman" w:hAnsi="Times New Roman" w:cs="Times New Roman" w:eastAsia="仿宋"/>
          <w:b w:val="0"/>
          <w:sz w:val="28"/>
        </w:rPr>
        <w:t>根据资金说明，出资本身使用普通的有检查的代币转移。托管或财务系统可以供应代币，而无需特殊的出资调用。在结算时，两笔余额都必须达到约定金额，并且结算授权方必须签名才能交换。该授权方是交易中指定的第三个地址，必须签署结算指令。目的地记录在创建时即固定。如果所需转移无法完成，结算交易会回滚，而先前的出资转移是单独的交易。</w:t>
      </w:r>
    </w:p>
    <w:p>
      <w:pPr>
        <w:pStyle w:val="正文内容"/>
        <w:spacing w:before="0" w:after="0" w:line="240" w:lineRule="auto"/>
        <w:ind w:left="0" w:right="0" w:firstLine="560"/>
        <w:jc w:val="both"/>
      </w:pPr>
      <w:r>
        <w:rPr>
          <w:rFonts w:ascii="Times New Roman" w:hAnsi="Times New Roman" w:cs="Times New Roman" w:eastAsia="仿宋"/>
          <w:b w:val="0"/>
          <w:sz w:val="28"/>
        </w:rPr>
        <w:t>Solana提出的双边结算设计在执行两腿或都不执行之前，对现金和资产都进行托管。总出资额问的是一笔交易必须有多少可用资金，而出资期限问的是资金在多长时间内无法用于其他用途。Solana DvP的双边设计要求在结算时提供全额，但不要求机构永久保持这些余额闲置。参与者若能更早收到可用的现金或资产，可能能够更早将其投入后续交易。这可能减少其需要外部融资的时间，或减少其为一连串债务持有的流动性。收益取决于何时需要出资以及收益何时真正可用。</w:t>
      </w:r>
    </w:p>
    <w:p>
      <w:pPr>
        <w:pStyle w:val="正文内容"/>
        <w:spacing w:before="0" w:after="0" w:line="240" w:lineRule="auto"/>
        <w:ind w:left="0" w:right="0" w:firstLine="560"/>
        <w:jc w:val="both"/>
      </w:pPr>
      <w:r>
        <w:rPr>
          <w:rFonts w:ascii="Times New Roman" w:hAnsi="Times New Roman" w:cs="Times New Roman" w:eastAsia="仿宋"/>
          <w:b w:val="0"/>
          <w:sz w:val="28"/>
        </w:rPr>
        <w:t>抵消债务可以减少一开始需要移动的金额。Solana DvP不在多笔交易之间执行该计算。需要净额结算或信贷的机构，必须在决定向托管账户发送多少之前，在其他地方安排这些功能。国际清算银行（Bank for International Settlements，BIS）与支付和市场基础设施委员会（Committee on Payments and Market Infrastructures，CPMI）在2024年10月的代币化报告中第12页和第13页描述了这种权衡：即时总额结算可能比净额结算安排要求更多流动性。该报告还指出相反的好处：更快获得资金和资产，可以减少结算期间被占用流动性的机会成本。对Solana DvP而言，总成本取决于融资安排和可用收益的时点。</w:t>
      </w:r>
    </w:p>
    <w:p>
      <w:pPr>
        <w:pStyle w:val="正文内容"/>
        <w:spacing w:before="0" w:after="0" w:line="240" w:lineRule="auto"/>
        <w:ind w:left="0" w:right="0" w:firstLine="560"/>
        <w:jc w:val="both"/>
      </w:pPr>
      <w:r>
        <w:rPr>
          <w:rFonts w:ascii="Times New Roman" w:hAnsi="Times New Roman" w:cs="Times New Roman" w:eastAsia="仿宋"/>
          <w:b w:val="0"/>
          <w:sz w:val="28"/>
        </w:rPr>
        <w:t>原子交换保护的是代币交换内部的本金交割风险：任何一方都不会在没有另一腿也移动的情况下交出自己的约定腿。更广泛的金融关系仍取决于所交换的工具。现金代币带有发行方的信用和赎回风险，受监管的资产代币也可能保留影响转移的控制权。当代币存放在托管中时，冻结、暂停和永久委托权力仍然相关。解押说明允许任一方在交易仍开放时取回自己的腿，或拒绝交易并退还两腿。结算授权方可以取消交易，单独的恢复指令处理关闭后到达的存款，但须遵守代币的转移规则。这些权力不能覆盖发行方冻结托管账户或阻止转移。一笔全额出资的交易仍可能无法完成，退款可能取决于发行方合作。根据交易创建条款，即使托管人提供了存款，退款和取回也会返回到指定方的代币账户。约定的结算目的地可以接收收益，但退款路径可能与出资路径不同。功能表显示：交换环节两腿原子移动，依赖全额余额和有效的授权方签名结算；出资环节由单独托管持有约定金额，参与者安排代币、融资和任何净额结算；恢复环节双方可取回或拒绝，授权方可取消，发行方和代币转移控制仍然适用。文档要求运营者在交易达到Solana最终确认承诺时确认结算。被授权的结算签名者还必须可用。</w:t>
      </w:r>
    </w:p>
    <w:p>
      <w:pPr>
        <w:pStyle w:val="正文内容"/>
        <w:spacing w:before="0" w:after="0" w:line="240" w:lineRule="auto"/>
        <w:ind w:left="0" w:right="0" w:firstLine="560"/>
        <w:jc w:val="both"/>
      </w:pPr>
      <w:r>
        <w:rPr>
          <w:rFonts w:ascii="Times New Roman" w:hAnsi="Times New Roman" w:cs="Times New Roman" w:eastAsia="仿宋"/>
          <w:b w:val="0"/>
          <w:sz w:val="28"/>
        </w:rPr>
        <w:t>基金会的文档列出了主网测试版（mainnet-beta）和开发网（devnet）上的可升级程序，观察日期为10月2日。主网表格指明了升级权限，即有权更改已部署程序的地址。机构依赖其治理和结算规则。客户端文档指向一个公开源代码修订版，公开版本历史中的最新修订日期为9月30日。安全审查方Cantina在5月21日至28日的审计覆盖较早的仓库和特定修复，其四项中等发现被标记为已修复，三项低风险和六项信息性发现被确认。基金会表示该程序已准备好投入真实资金，并在生产发布前邀请设计合作伙伴和早期参与者。JPMorgan提供了证券结算实践方面的输入，公告否认其在程序的设计、开发、运营、批准、背书或保证中扮演角色。</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原文标题：Solana DvP settlement requires 100% upfront cash for every trade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原文链接：https://cryptoslate.com/solana-dvp-settlement-requires-100-upfront-cash-for-every-trade/</w:t>
      </w:r>
    </w:p>
    <w:p/>
    <w:p>
      <w:pPr>
        <w:pStyle w:val="文章一级标题"/>
        <w:spacing w:before="0" w:after="0" w:line="240" w:lineRule="auto"/>
        <w:ind w:left="0" w:right="0" w:firstLine="0"/>
        <w:jc w:val="center"/>
      </w:pPr>
      <w:r>
        <w:rPr>
          <w:rFonts w:ascii="Times New Roman" w:hAnsi="Times New Roman" w:cs="Times New Roman" w:eastAsia="黑体"/>
          <w:b w:val="0"/>
          <w:sz w:val="30"/>
        </w:rPr>
        <w:t>Cardano推出代币标准允许发行方冻结、扣押和限制资产</w:t>
      </w:r>
    </w:p>
    <w:p>
      <w:pPr>
        <w:spacing w:before="0" w:after="0" w:line="240" w:lineRule="auto"/>
        <w:ind w:left="0" w:right="0" w:firstLine="0"/>
        <w:jc w:val="both"/>
      </w:pPr>
      <w:r>
        <w:rPr>
          <w:rFonts w:ascii="Times New Roman" w:hAnsi="Times New Roman" w:cs="Times New Roman" w:eastAsia="仿宋"/>
          <w:b w:val="0"/>
          <w:sz w:val="28"/>
        </w:rPr>
        <w:t>· Cardano基金会推出CIP-0113代币标准，允许受监管资产（稳定币、基金和债券）的发行方限制接收方，并按规则冻结、扣押或转移持仓。</w:t>
      </w:r>
    </w:p>
    <w:p>
      <w:pPr>
        <w:spacing w:before="0" w:after="0" w:line="240" w:lineRule="auto"/>
        <w:ind w:left="0" w:right="0" w:firstLine="0"/>
        <w:jc w:val="both"/>
      </w:pPr>
      <w:r>
        <w:rPr>
          <w:rFonts w:ascii="Times New Roman" w:hAnsi="Times New Roman" w:cs="Times New Roman" w:eastAsia="仿宋"/>
          <w:b w:val="0"/>
          <w:sz w:val="28"/>
        </w:rPr>
        <w:t>· 该标准在每次转账时执行合规检查，包括身份和制裁筛查，无需硬分叉；发行方可选择或自定义规则并随监管变化更新。</w:t>
      </w:r>
    </w:p>
    <w:p>
      <w:pPr>
        <w:spacing w:before="0" w:after="0" w:line="240" w:lineRule="auto"/>
        <w:ind w:left="0" w:right="0" w:firstLine="0"/>
        <w:jc w:val="both"/>
      </w:pPr>
      <w:r>
        <w:rPr>
          <w:rFonts w:ascii="Times New Roman" w:hAnsi="Times New Roman" w:cs="Times New Roman" w:eastAsia="仿宋"/>
          <w:b w:val="0"/>
          <w:sz w:val="28"/>
        </w:rPr>
        <w:t>· 持有人可能受到控制，授权方可未经其同意移动代币；其他区块链已有类似标准，如以太坊ERC-3643、Solana代币扩展和XRP Ledger。</w:t>
      </w:r>
    </w:p>
    <w:p>
      <w:pPr>
        <w:pStyle w:val="正文内容"/>
        <w:spacing w:before="0" w:after="0" w:line="240" w:lineRule="auto"/>
        <w:ind w:left="0" w:right="0" w:firstLine="560"/>
        <w:jc w:val="both"/>
      </w:pPr>
      <w:r>
        <w:rPr>
          <w:rFonts w:ascii="Times New Roman" w:hAnsi="Times New Roman" w:cs="Times New Roman" w:eastAsia="仿宋"/>
          <w:b w:val="0"/>
          <w:sz w:val="28"/>
        </w:rPr>
        <w:t>Cardano基金会周三宣布，名为CIP-0113的代币标准已在网络上上线，该标准将合规控制内置到代币中，使受监管资产的发行方能够限制接收方并冻结、扣押或转移持仓。</w:t>
      </w:r>
    </w:p>
    <w:p>
      <w:pPr>
        <w:pStyle w:val="正文内容"/>
        <w:spacing w:before="0" w:after="0" w:line="240" w:lineRule="auto"/>
        <w:ind w:left="0" w:right="0" w:firstLine="560"/>
        <w:jc w:val="both"/>
      </w:pPr>
      <w:r>
        <w:rPr>
          <w:rFonts w:ascii="Times New Roman" w:hAnsi="Times New Roman" w:cs="Times New Roman" w:eastAsia="仿宋"/>
          <w:b w:val="0"/>
          <w:sz w:val="28"/>
        </w:rPr>
        <w:t>支持Cardano开发的瑞士非营利组织Cardano基金会周三宣布，一项名为CIP-0113的代币标准已在网络上上线，此前经过了独立安全审计。该标准允许稳定币、基金和债券等受监管资产的发行方决定谁可以接收其资产，并在规则要求时冻结或扣押持仓。该标准在每次转移时执行合规检查，包括身份和制裁筛查，且无需硬分叉。</w:t>
      </w:r>
    </w:p>
    <w:p>
      <w:pPr>
        <w:pStyle w:val="正文内容"/>
        <w:spacing w:before="0" w:after="0" w:line="240" w:lineRule="auto"/>
        <w:ind w:left="0" w:right="0" w:firstLine="560"/>
        <w:jc w:val="both"/>
      </w:pPr>
      <w:r>
        <w:rPr>
          <w:rFonts w:ascii="Times New Roman" w:hAnsi="Times New Roman" w:cs="Times New Roman" w:eastAsia="仿宋"/>
          <w:b w:val="0"/>
          <w:sz w:val="28"/>
        </w:rPr>
        <w:t>大多数加密代币可以由任何持有者发送到任何钱包。但银行和基金经理将受监管资产放到链上时不能允许这种情况。他们必须让代币远离未通过身份检查的买家以及受制裁地址，并且必须能够在监管机构或法院下令时冻结资产。新标准将这些控制内置到代币中，因此网络在任何转移完成之前都会检查规则。</w:t>
      </w:r>
    </w:p>
    <w:p>
      <w:pPr>
        <w:pStyle w:val="正文内容"/>
        <w:spacing w:before="0" w:after="0" w:line="240" w:lineRule="auto"/>
        <w:ind w:left="0" w:right="0" w:firstLine="560"/>
        <w:jc w:val="both"/>
      </w:pPr>
      <w:r>
        <w:rPr>
          <w:rFonts w:ascii="Times New Roman" w:hAnsi="Times New Roman" w:cs="Times New Roman" w:eastAsia="仿宋"/>
          <w:b w:val="0"/>
          <w:sz w:val="28"/>
        </w:rPr>
        <w:t>例如，一只只向经过验证的投资者出售的基金，可以用该标准拒绝向未完成身份检查的人转账。稳定币发行方可以阻止其代币到达受制裁地址。这些限制在代币每次移动时都适用，包括在不同钱包或服务的使用者之间转移。</w:t>
      </w:r>
    </w:p>
    <w:p>
      <w:pPr>
        <w:pStyle w:val="正文内容"/>
        <w:spacing w:before="0" w:after="0" w:line="240" w:lineRule="auto"/>
        <w:ind w:left="0" w:right="0" w:firstLine="560"/>
        <w:jc w:val="both"/>
      </w:pPr>
      <w:r>
        <w:rPr>
          <w:rFonts w:ascii="Times New Roman" w:hAnsi="Times New Roman" w:cs="Times New Roman" w:eastAsia="仿宋"/>
          <w:b w:val="0"/>
          <w:sz w:val="28"/>
        </w:rPr>
        <w:t>该设计将代币保存在一个共享智能合约中，这是Cardano上控制代币如何被移动的程序。检查交易的计算机在接受转移之前执行所选规则。该标准使用了Cardano上已有的能力，无需硬分叉——即对网络底层规则的更改。Cardano基金会首席执行官Frederik Gregaard在给CoinDesk的声明中表示：“规则必须随资产一起移动，并在每次移动时被强制执行。”</w:t>
      </w:r>
    </w:p>
    <w:p>
      <w:pPr>
        <w:pStyle w:val="正文内容"/>
        <w:spacing w:before="0" w:after="0" w:line="240" w:lineRule="auto"/>
        <w:ind w:left="0" w:right="0" w:firstLine="560"/>
        <w:jc w:val="both"/>
      </w:pPr>
      <w:r>
        <w:rPr>
          <w:rFonts w:ascii="Times New Roman" w:hAnsi="Times New Roman" w:cs="Times New Roman" w:eastAsia="仿宋"/>
          <w:b w:val="0"/>
          <w:sz w:val="28"/>
        </w:rPr>
        <w:t>发行方可以选择现有的规则集，也可以编写自己的规则，并随着监管变化更新它们。基金会列出了支持此次发布的一些工具，包括钱包Eternl和GeroWallet、区块链浏览器CardanoScan以及开发者工具提供商BloxBean。其他区块链已经提供这种功能的版本。</w:t>
      </w:r>
    </w:p>
    <w:p>
      <w:pPr>
        <w:pStyle w:val="正文内容"/>
        <w:spacing w:before="0" w:after="0" w:line="240" w:lineRule="auto"/>
        <w:ind w:left="0" w:right="0" w:firstLine="560"/>
        <w:jc w:val="both"/>
      </w:pPr>
      <w:r>
        <w:rPr>
          <w:rFonts w:ascii="Times New Roman" w:hAnsi="Times New Roman" w:cs="Times New Roman" w:eastAsia="仿宋"/>
          <w:b w:val="0"/>
          <w:sz w:val="28"/>
        </w:rPr>
        <w:t>以太坊有许可型代币标准，如ERC-3643；Solana通过其代币扩展添加了转移控制；XRP Ledger支持发行方可以限制持有者并收回余额的代币。持有这类代币也可能意味着接受超出阻止支付的权力。根据其规则，授权方可以在未经持有人同意的情况下移动代币。技术规范告诉借贷服务，在接受代币作为抵押品之前要审查这些权力。</w:t>
      </w:r>
    </w:p>
    <w:p>
      <w:pPr>
        <w:pStyle w:val="正文内容"/>
        <w:spacing w:before="0" w:after="0" w:line="240" w:lineRule="auto"/>
        <w:ind w:left="0" w:right="0" w:firstLine="560"/>
        <w:jc w:val="both"/>
      </w:pPr>
      <w:r>
        <w:rPr>
          <w:rFonts w:ascii="Times New Roman" w:hAnsi="Times New Roman" w:cs="Times New Roman" w:eastAsia="仿宋"/>
          <w:b w:val="0"/>
          <w:sz w:val="28"/>
        </w:rPr>
        <w:t>基金会还宣布，其获得了资本市场与技术协会（Capital Markets and Technology Association）认证框架下的认可。该协会是一个瑞士行业组织，其标准用于发行代币化股票。Cardano的ADA在过去24小时内下跌4.5%，与更广泛的市场下跌同步。</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原文标题：Cardano gives token issuers power to freeze， seize and restrict assets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原文链接：https://www.coindesk.com/tech/2026/10/07/cardano-gives-token-issuers-power-to-freeze-seize-and-restrict-assets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CoinbasePro将回归Deribit整合创建CoinbaseGlobalExchange</w:t>
      </w:r>
    </w:p>
    <w:p>
      <w:pPr>
        <w:spacing w:before="0" w:after="0" w:line="240" w:lineRule="auto"/>
        <w:ind w:left="0" w:right="0" w:firstLine="0"/>
        <w:jc w:val="both"/>
      </w:pPr>
      <w:r>
        <w:rPr>
          <w:rFonts w:ascii="Times New Roman" w:hAnsi="Times New Roman" w:cs="Times New Roman" w:eastAsia="仿宋"/>
          <w:b w:val="0"/>
          <w:sz w:val="28"/>
        </w:rPr>
        <w:t>· Coinbase 计划在今年年底前重新推出 Coinbase Pro，用于现货、期货、永续合约、期权和股票交易。</w:t>
      </w:r>
    </w:p>
    <w:p>
      <w:pPr>
        <w:spacing w:before="0" w:after="0" w:line="240" w:lineRule="auto"/>
        <w:ind w:left="0" w:right="0" w:firstLine="0"/>
        <w:jc w:val="both"/>
      </w:pPr>
      <w:r>
        <w:rPr>
          <w:rFonts w:ascii="Times New Roman" w:hAnsi="Times New Roman" w:cs="Times New Roman" w:eastAsia="仿宋"/>
          <w:b w:val="0"/>
          <w:sz w:val="28"/>
        </w:rPr>
        <w:t>· Coinbase 已完成 Deribit 整合，创建 Coinbase Global Exchange。</w:t>
      </w:r>
    </w:p>
    <w:p>
      <w:pPr>
        <w:spacing w:before="0" w:after="0" w:line="240" w:lineRule="auto"/>
        <w:ind w:left="0" w:right="0" w:firstLine="0"/>
        <w:jc w:val="both"/>
      </w:pPr>
      <w:r>
        <w:rPr>
          <w:rFonts w:ascii="Times New Roman" w:hAnsi="Times New Roman" w:cs="Times New Roman" w:eastAsia="仿宋"/>
          <w:b w:val="0"/>
          <w:sz w:val="28"/>
        </w:rPr>
        <w:t>· Coinbase Financial Markets 将很快把符合条件的美国客户连接至全球加密衍生品流动性。</w:t>
      </w:r>
    </w:p>
    <w:p>
      <w:pPr>
        <w:pStyle w:val="正文内容"/>
        <w:spacing w:before="0" w:after="0" w:line="240" w:lineRule="auto"/>
        <w:ind w:left="0" w:right="0" w:firstLine="560"/>
        <w:jc w:val="both"/>
      </w:pPr>
      <w:r>
        <w:rPr>
          <w:rFonts w:ascii="Times New Roman" w:hAnsi="Times New Roman" w:cs="Times New Roman" w:eastAsia="仿宋"/>
          <w:b w:val="0"/>
          <w:sz w:val="28"/>
        </w:rPr>
        <w:t>加密交易所运营商 Coinbase 计划在今年年底前重新推出 Coinbase Pro 平台，并已完成对 Deribit 的整合，后者是其在去年收购的公司。Coinbase 表示，此次整合创建了 Coinbase Global Exchange。Coinbase Pro 将回归，用于现货、期货、永续合约（perpetual futures）、期权和股票交易。</w:t>
      </w:r>
    </w:p>
    <w:p>
      <w:pPr>
        <w:pStyle w:val="正文内容"/>
        <w:spacing w:before="0" w:after="0" w:line="240" w:lineRule="auto"/>
        <w:ind w:left="0" w:right="0" w:firstLine="560"/>
        <w:jc w:val="both"/>
      </w:pPr>
      <w:r>
        <w:rPr>
          <w:rFonts w:ascii="Times New Roman" w:hAnsi="Times New Roman" w:cs="Times New Roman" w:eastAsia="仿宋"/>
          <w:b w:val="0"/>
          <w:sz w:val="28"/>
        </w:rPr>
        <w:t>Coinbase 称，其美国受监管的期货佣金商（futures commission merchant）Coinbase Financial Markets 将很快把符合条件的美国客户连接至全球加密衍生品流动性。Coinbase 在 Token2049 新加坡活动上宣布：“在市场历史上，我们首次将美国与国际衍生品市场连接为单一流动性池。”Coinbase 还表示：“随着整合完成，我们将在未来几周推出由 Deribit 支持的期权、现货保证金和统一投资组合。”</w:t>
      </w:r>
    </w:p>
    <w:p>
      <w:pPr>
        <w:pStyle w:val="正文内容"/>
        <w:spacing w:before="0" w:after="0" w:line="240" w:lineRule="auto"/>
        <w:ind w:left="0" w:right="0" w:firstLine="560"/>
        <w:jc w:val="both"/>
      </w:pPr>
      <w:r>
        <w:rPr>
          <w:rFonts w:ascii="Times New Roman" w:hAnsi="Times New Roman" w:cs="Times New Roman" w:eastAsia="仿宋"/>
          <w:b w:val="0"/>
          <w:sz w:val="28"/>
        </w:rPr>
        <w:t>Coinbase 表示，美国商品期货交易委员会（Commodity Futures Trading Commission）在 5 月发布的指引，允许 Coinbase Financial Markets 将美国客户与全球加密衍生品市场连接。据该公司称，这为美国机构客户提供了一条受监管途径，以获取此前需要离岸实体、多个交易对手和独立交易场所的期权和永续合约。</w:t>
      </w:r>
    </w:p>
    <w:p>
      <w:pPr>
        <w:pStyle w:val="正文内容"/>
        <w:spacing w:before="0" w:after="0" w:line="240" w:lineRule="auto"/>
        <w:ind w:left="0" w:right="0" w:firstLine="560"/>
        <w:jc w:val="both"/>
      </w:pPr>
      <w:r>
        <w:rPr>
          <w:rFonts w:ascii="Times New Roman" w:hAnsi="Times New Roman" w:cs="Times New Roman" w:eastAsia="仿宋"/>
          <w:b w:val="0"/>
          <w:sz w:val="28"/>
        </w:rPr>
        <w:t>Coinbase 表示，美国以外的合格交易者将在未来几周获得期权访问权限，美国零售交易者预计在今年晚些时候获得访问权限。美国机构客户将可以通过 Coinbase Prime 交易 Deribit 期权和永续合约。入驻已开放，期权交易预计在未来几周启动。</w:t>
      </w:r>
    </w:p>
    <w:p>
      <w:pPr>
        <w:pStyle w:val="正文内容"/>
        <w:spacing w:before="0" w:after="0" w:line="240" w:lineRule="auto"/>
        <w:ind w:left="0" w:right="0" w:firstLine="560"/>
        <w:jc w:val="both"/>
      </w:pPr>
      <w:r>
        <w:rPr>
          <w:rFonts w:ascii="Times New Roman" w:hAnsi="Times New Roman" w:cs="Times New Roman" w:eastAsia="仿宋"/>
          <w:b w:val="0"/>
          <w:sz w:val="28"/>
        </w:rPr>
        <w:t>Coinbase 表示，机构客户将能够在同一平台交易现货、期货、永续合约和期权，并使用托管（custody）、融资（financing）和质押（staking）。Coinbase 于 2025 年 8 月以约 29 亿美元收购 Deribit，后者是全球最大的加密期权交易所之一。Coinbase 称，截至 9 月 30 日，Deribit 的比特币期权未平仓合约超过 300 亿美元，并在去年处理了超过 1 万亿美元的交易量。</w:t>
      </w:r>
    </w:p>
    <w:p>
      <w:pPr>
        <w:pStyle w:val="正文内容"/>
        <w:spacing w:before="0" w:after="0" w:line="240" w:lineRule="auto"/>
        <w:ind w:left="0" w:right="0" w:firstLine="560"/>
        <w:jc w:val="both"/>
      </w:pPr>
      <w:r>
        <w:rPr>
          <w:rFonts w:ascii="Times New Roman" w:hAnsi="Times New Roman" w:cs="Times New Roman" w:eastAsia="仿宋"/>
          <w:b w:val="0"/>
          <w:sz w:val="28"/>
        </w:rPr>
        <w:t>在 Coinbase Pro 方面，Coinbase 表示：“Coinbase Pro 从底层重建，将提供更快的订单路由、改进的执行流程，以及专为在我们支持的每个市场执行复杂策略的高交易量活跃交易者设计的高级工具。”该公司在 2022 年关闭了原版 Coinbase Pro，此前已将高级交易移入其主应用；向 Coinbase Advanced 的迁移于 2023 年 11 月完成。</w:t>
      </w:r>
    </w:p>
    <w:p>
      <w:pPr>
        <w:pStyle w:val="正文内容"/>
        <w:spacing w:before="0" w:after="0" w:line="240" w:lineRule="auto"/>
        <w:ind w:left="0" w:right="0" w:firstLine="560"/>
        <w:jc w:val="both"/>
      </w:pPr>
      <w:r>
        <w:rPr>
          <w:rFonts w:ascii="Times New Roman" w:hAnsi="Times New Roman" w:cs="Times New Roman" w:eastAsia="仿宋"/>
          <w:b w:val="0"/>
          <w:sz w:val="28"/>
        </w:rPr>
        <w:t>Coinbase 表示，还将增加现货保证金交易，让合格交易者以抵押品借入资金进行更大规模的现货交易，在选定的主要资产上杠杆最高 10 倍，在其他受支持资产上最高 5 倍。Coinbase 还增加了新的撮合引擎（matching engine），缩短了入驻流程，并更改了 Coinbase Advanced 的手续费档位。新档位从 1 万美元的合格交易量起，并同时计入现货和衍生品交易。</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原文标题：Coinbase Pro to return； Deribit integration creates Coinbase Global Exchange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原文链接：https://www.theblock.co/news/business/2026-10-06-coinbase-pro-deribit-integration-coinbase-global-exchange-417867</w:t>
      </w:r>
    </w:p>
    <w:p/>
    <w:p>
      <w:pPr>
        <w:pStyle w:val="文章一级标题"/>
        <w:spacing w:before="0" w:after="0" w:line="240" w:lineRule="auto"/>
        <w:ind w:left="0" w:right="0" w:firstLine="0"/>
        <w:jc w:val="center"/>
      </w:pPr>
      <w:r>
        <w:rPr>
          <w:rFonts w:ascii="Times New Roman" w:hAnsi="Times New Roman" w:cs="Times New Roman" w:eastAsia="黑体"/>
          <w:b w:val="0"/>
          <w:sz w:val="30"/>
        </w:rPr>
        <w:t>Spiko完成9000万美元B轮融资用于在各市场拓展代币化现金基金</w:t>
      </w:r>
    </w:p>
    <w:p>
      <w:pPr>
        <w:spacing w:before="0" w:after="0" w:line="240" w:lineRule="auto"/>
        <w:ind w:left="0" w:right="0" w:firstLine="0"/>
        <w:jc w:val="both"/>
      </w:pPr>
      <w:r>
        <w:rPr>
          <w:rFonts w:ascii="Times New Roman" w:hAnsi="Times New Roman" w:cs="Times New Roman" w:eastAsia="仿宋"/>
          <w:b w:val="0"/>
          <w:sz w:val="28"/>
        </w:rPr>
        <w:t>· Spiko 于周二宣布完成 9000 万美元 B 轮融资（Series B），由 New Enterprise Associates 领投，本轮融资使其累计融资额达到 1.2 亿美元。</w:t>
      </w:r>
    </w:p>
    <w:p>
      <w:pPr>
        <w:spacing w:before="0" w:after="0" w:line="240" w:lineRule="auto"/>
        <w:ind w:left="0" w:right="0" w:firstLine="0"/>
        <w:jc w:val="both"/>
      </w:pPr>
      <w:r>
        <w:rPr>
          <w:rFonts w:ascii="Times New Roman" w:hAnsi="Times New Roman" w:cs="Times New Roman" w:eastAsia="仿宋"/>
          <w:b w:val="0"/>
          <w:sz w:val="28"/>
        </w:rPr>
        <w:t>· 公司称其基金管理规模为 27 亿美元，基金以欧元、美元、英镑和瑞士法郎计价，超过 1 万个企业和个人、分布在超过 25 个司法管辖区使用其基金。</w:t>
      </w:r>
    </w:p>
    <w:p>
      <w:pPr>
        <w:spacing w:before="0" w:after="0" w:line="240" w:lineRule="auto"/>
        <w:ind w:left="0" w:right="0" w:firstLine="0"/>
        <w:jc w:val="both"/>
      </w:pPr>
      <w:r>
        <w:rPr>
          <w:rFonts w:ascii="Times New Roman" w:hAnsi="Times New Roman" w:cs="Times New Roman" w:eastAsia="仿宋"/>
          <w:b w:val="0"/>
          <w:sz w:val="28"/>
        </w:rPr>
        <w:t>· Spiko 称其代币化现金基金产品范围现已大于 BlackRock 和 Franklin Templeton 的同类产品，并引用 RWA.xyz 的数据，该说法指的是公司在代币化现金基金发行方中的位置，而非这两家公司的整体资产管理规模。</w:t>
      </w:r>
    </w:p>
    <w:p>
      <w:pPr>
        <w:pStyle w:val="正文内容"/>
        <w:spacing w:before="0" w:after="0" w:line="240" w:lineRule="auto"/>
        <w:ind w:left="0" w:right="0" w:firstLine="560"/>
        <w:jc w:val="both"/>
      </w:pPr>
      <w:r>
        <w:rPr>
          <w:rFonts w:ascii="Times New Roman" w:hAnsi="Times New Roman" w:cs="Times New Roman" w:eastAsia="仿宋"/>
          <w:b w:val="0"/>
          <w:sz w:val="28"/>
        </w:rPr>
        <w:t>代币化现金基金（tokenized cash funds）发行方 Spiko 于周二宣布，公司已完成一轮 9000 万美元的 B 轮融资（Series B），本轮融资由 New Enterprise Associates 领投。The Block 报道称，总部位于伦敦和巴黎的 Spiko 在一份声明中公布了这一消息，并称本轮融资使公司的累计融资总额达到 1.2 亿美元。</w:t>
      </w:r>
    </w:p>
    <w:p>
      <w:pPr>
        <w:pStyle w:val="正文内容"/>
        <w:spacing w:before="0" w:after="0" w:line="240" w:lineRule="auto"/>
        <w:ind w:left="0" w:right="0" w:firstLine="560"/>
        <w:jc w:val="both"/>
      </w:pPr>
      <w:r>
        <w:rPr>
          <w:rFonts w:ascii="Times New Roman" w:hAnsi="Times New Roman" w:cs="Times New Roman" w:eastAsia="仿宋"/>
          <w:b w:val="0"/>
          <w:sz w:val="28"/>
        </w:rPr>
        <w:t>声明显示，参与本轮融资的还有 Index Ventures、Bpifrance、Speedinvest 和 Wintermute Ventures，以及多位天使投资人，其中包括前德国央行行长 Axel Weber。这些投资方与天使投资人与 New Enterprise Associates 一同参与了本轮融资。</w:t>
      </w:r>
    </w:p>
    <w:p>
      <w:pPr>
        <w:pStyle w:val="正文内容"/>
        <w:spacing w:before="0" w:after="0" w:line="240" w:lineRule="auto"/>
        <w:ind w:left="0" w:right="0" w:firstLine="560"/>
        <w:jc w:val="both"/>
      </w:pPr>
      <w:r>
        <w:rPr>
          <w:rFonts w:ascii="Times New Roman" w:hAnsi="Times New Roman" w:cs="Times New Roman" w:eastAsia="仿宋"/>
          <w:b w:val="0"/>
          <w:sz w:val="28"/>
        </w:rPr>
        <w:t>公司表示，新资金将用于推出新基金、进入更多市场并扩充团队，包括在德国、意大利、西班牙、荷兰和北欧开展本地运营。声明还称，新资金将用于新产品、市场和招聘。</w:t>
      </w:r>
    </w:p>
    <w:p>
      <w:pPr>
        <w:pStyle w:val="正文内容"/>
        <w:spacing w:before="0" w:after="0" w:line="240" w:lineRule="auto"/>
        <w:ind w:left="0" w:right="0" w:firstLine="560"/>
        <w:jc w:val="both"/>
      </w:pPr>
      <w:r>
        <w:rPr>
          <w:rFonts w:ascii="Times New Roman" w:hAnsi="Times New Roman" w:cs="Times New Roman" w:eastAsia="仿宋"/>
          <w:b w:val="0"/>
          <w:sz w:val="28"/>
        </w:rPr>
        <w:t>Spiko 自行设计和分销受监管现金基金（regulated cash funds），客户可以通过其网页和移动应用程序访问这些基金。金融机构也可以借助 Spiko 的应用程序接口（API），将这些基金嵌入自身产品之中。</w:t>
      </w:r>
    </w:p>
    <w:p>
      <w:pPr>
        <w:pStyle w:val="正文内容"/>
        <w:spacing w:before="0" w:after="0" w:line="240" w:lineRule="auto"/>
        <w:ind w:left="0" w:right="0" w:firstLine="560"/>
        <w:jc w:val="both"/>
      </w:pPr>
      <w:r>
        <w:rPr>
          <w:rFonts w:ascii="Times New Roman" w:hAnsi="Times New Roman" w:cs="Times New Roman" w:eastAsia="仿宋"/>
          <w:b w:val="0"/>
          <w:sz w:val="28"/>
        </w:rPr>
        <w:t>根据声明，这些基金被代币化（tokenized），并在多条公共区块链（public blockchains）上发行。Spiko 称，这使基金能够运行在与稳定币（stablecoins）和智能合约（smart contracts）相同的基础设施之上。</w:t>
      </w:r>
    </w:p>
    <w:p>
      <w:pPr>
        <w:pStyle w:val="正文内容"/>
        <w:spacing w:before="0" w:after="0" w:line="240" w:lineRule="auto"/>
        <w:ind w:left="0" w:right="0" w:firstLine="560"/>
        <w:jc w:val="both"/>
      </w:pPr>
      <w:r>
        <w:rPr>
          <w:rFonts w:ascii="Times New Roman" w:hAnsi="Times New Roman" w:cs="Times New Roman" w:eastAsia="仿宋"/>
          <w:b w:val="0"/>
          <w:sz w:val="28"/>
        </w:rPr>
        <w:t>该公司表示，这让现金具备可编程性（programmable）：企业可以为把闲置的经营现金转入基金设定规则，同时保持这笔资金可用于发放薪资和其他支付。</w:t>
      </w:r>
    </w:p>
    <w:p>
      <w:pPr>
        <w:pStyle w:val="正文内容"/>
        <w:spacing w:before="0" w:after="0" w:line="240" w:lineRule="auto"/>
        <w:ind w:left="0" w:right="0" w:firstLine="560"/>
        <w:jc w:val="both"/>
      </w:pPr>
      <w:r>
        <w:rPr>
          <w:rFonts w:ascii="Times New Roman" w:hAnsi="Times New Roman" w:cs="Times New Roman" w:eastAsia="仿宋"/>
          <w:b w:val="0"/>
          <w:sz w:val="28"/>
        </w:rPr>
        <w:t>公司称，其基金目前的资产管理规模（assets under management）为 27 亿美元，这些基金以欧元、美元、英镑和瑞士法郎计价。</w:t>
      </w:r>
    </w:p>
    <w:p>
      <w:pPr>
        <w:pStyle w:val="正文内容"/>
        <w:spacing w:before="0" w:after="0" w:line="240" w:lineRule="auto"/>
        <w:ind w:left="0" w:right="0" w:firstLine="560"/>
        <w:jc w:val="both"/>
      </w:pPr>
      <w:r>
        <w:rPr>
          <w:rFonts w:ascii="Times New Roman" w:hAnsi="Times New Roman" w:cs="Times New Roman" w:eastAsia="仿宋"/>
          <w:b w:val="0"/>
          <w:sz w:val="28"/>
        </w:rPr>
        <w:t>Spiko 还表示，超过 1 万个企业和个人、分布在超过 25 个司法管辖区，正在使用其基金。</w:t>
      </w:r>
    </w:p>
    <w:p>
      <w:pPr>
        <w:pStyle w:val="正文内容"/>
        <w:spacing w:before="0" w:after="0" w:line="240" w:lineRule="auto"/>
        <w:ind w:left="0" w:right="0" w:firstLine="560"/>
        <w:jc w:val="both"/>
      </w:pPr>
      <w:r>
        <w:rPr>
          <w:rFonts w:ascii="Times New Roman" w:hAnsi="Times New Roman" w:cs="Times New Roman" w:eastAsia="仿宋"/>
          <w:b w:val="0"/>
          <w:sz w:val="28"/>
        </w:rPr>
        <w:t>Spiko 还称，其代币化现金基金产品范围现已大于 BlackRock 和 Franklin Templeton 的同类产品，并引用了 RWA.xyz 的数据。</w:t>
      </w:r>
    </w:p>
    <w:p>
      <w:pPr>
        <w:pStyle w:val="正文内容"/>
        <w:spacing w:before="0" w:after="0" w:line="240" w:lineRule="auto"/>
        <w:ind w:left="0" w:right="0" w:firstLine="560"/>
        <w:jc w:val="both"/>
      </w:pPr>
      <w:r>
        <w:rPr>
          <w:rFonts w:ascii="Times New Roman" w:hAnsi="Times New Roman" w:cs="Times New Roman" w:eastAsia="仿宋"/>
          <w:b w:val="0"/>
          <w:sz w:val="28"/>
        </w:rPr>
        <w:t>文章指出，这一说法指的是公司在代币化现金基金发行方中的位置，而不是这两家公司的整体资产管理规模。</w:t>
      </w:r>
    </w:p>
    <w:p>
      <w:pPr>
        <w:pStyle w:val="正文内容"/>
        <w:spacing w:before="0" w:after="0" w:line="240" w:lineRule="auto"/>
        <w:ind w:left="0" w:right="0" w:firstLine="560"/>
        <w:jc w:val="both"/>
      </w:pPr>
      <w:r>
        <w:rPr>
          <w:rFonts w:ascii="Times New Roman" w:hAnsi="Times New Roman" w:cs="Times New Roman" w:eastAsia="仿宋"/>
          <w:b w:val="0"/>
          <w:sz w:val="28"/>
        </w:rPr>
        <w:t>The Block 的报道显示，该消息于 2026 年 10 月 6 日（周二）公布，报道作者为 Brian Danga，编辑为 James Hunt。</w:t>
      </w:r>
    </w:p>
    <w:p>
      <w:pPr>
        <w:pStyle w:val="正文内容"/>
        <w:spacing w:before="0" w:after="0" w:line="240" w:lineRule="auto"/>
        <w:ind w:left="0" w:right="0" w:firstLine="560"/>
        <w:jc w:val="both"/>
      </w:pPr>
      <w:r>
        <w:rPr>
          <w:rFonts w:ascii="Times New Roman" w:hAnsi="Times New Roman" w:cs="Times New Roman" w:eastAsia="仿宋"/>
          <w:b w:val="0"/>
          <w:sz w:val="28"/>
        </w:rPr>
        <w:t>Spiko 的最新一轮融资使其累计融资额达到 1.2 亿美元，同时其资产管理规模攀升至 27 亿美元。</w:t>
      </w:r>
    </w:p>
    <w:p>
      <w:pPr>
        <w:pStyle w:val="正文内容"/>
        <w:spacing w:before="0" w:after="0" w:line="240" w:lineRule="auto"/>
        <w:ind w:left="0" w:right="0" w:firstLine="560"/>
        <w:jc w:val="both"/>
      </w:pPr>
      <w:r>
        <w:rPr>
          <w:rFonts w:ascii="Times New Roman" w:hAnsi="Times New Roman" w:cs="Times New Roman" w:eastAsia="仿宋"/>
          <w:b w:val="0"/>
          <w:sz w:val="28"/>
        </w:rPr>
        <w:t>据 The Block 报道，Spiko 表示超过 1 万个企业和个人、遍布 25 个以上司法管辖区使用其基金，新资金将用于新产品、市场和招聘。</w:t>
      </w:r>
    </w:p>
    <w:p>
      <w:pPr>
        <w:pStyle w:val="正文内容"/>
        <w:spacing w:before="0" w:after="0" w:line="240" w:lineRule="auto"/>
        <w:ind w:left="0" w:right="0" w:firstLine="560"/>
        <w:jc w:val="both"/>
      </w:pPr>
      <w:r>
        <w:rPr>
          <w:rFonts w:ascii="Times New Roman" w:hAnsi="Times New Roman" w:cs="Times New Roman" w:eastAsia="仿宋"/>
          <w:b w:val="0"/>
          <w:sz w:val="28"/>
        </w:rPr>
        <w:t>Spiko 在声明中表示，公司设计和分销自己的受监管现金基金，客户可以通过其网页和移动应用程序访问这些基金。金融机构也可以通过 Spiko 的 API 将这些基金嵌入自身产品。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原文标题：Spiko raises $90 million to expand tokenized cash funds across markets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原文链接：https://www.theblock.co/news/business/2026-10-06-spiko-raises-90-million-to-expand-tokenized-cash-funds-across-markets-417774</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RaoulPal资本开始从AI轮动回加密货币</w:t>
      </w:r>
    </w:p>
    <w:p>
      <w:pPr>
        <w:spacing w:before="0" w:after="0" w:line="240" w:lineRule="auto"/>
        <w:ind w:left="0" w:right="0" w:firstLine="0"/>
        <w:jc w:val="both"/>
      </w:pPr>
      <w:r>
        <w:rPr>
          <w:rFonts w:ascii="Times New Roman" w:hAnsi="Times New Roman" w:cs="Times New Roman" w:eastAsia="仿宋"/>
          <w:b w:val="0"/>
          <w:sz w:val="28"/>
        </w:rPr>
        <w:t>· Real Vision 创始人 Raoul Pal 表示，美元走弱可能给加密货币“绿灯”，并帮助延续行业涨势；更高的债券收益率和强势美元正阻止流动性自由流动。</w:t>
      </w:r>
    </w:p>
    <w:p>
      <w:pPr>
        <w:spacing w:before="0" w:after="0" w:line="240" w:lineRule="auto"/>
        <w:ind w:left="0" w:right="0" w:firstLine="0"/>
        <w:jc w:val="both"/>
      </w:pPr>
      <w:r>
        <w:rPr>
          <w:rFonts w:ascii="Times New Roman" w:hAnsi="Times New Roman" w:cs="Times New Roman" w:eastAsia="仿宋"/>
          <w:b w:val="0"/>
          <w:sz w:val="28"/>
        </w:rPr>
        <w:t>· Pal 说，AI 交易的暂停已允许资本轮动进入加密货币；比特币周期复苏可以说发生在8月19日至8月25日，当时 BTC 上涨约25%至80，000美元，同期 Nvidia 连续七个交易日下跌。</w:t>
      </w:r>
    </w:p>
    <w:p>
      <w:pPr>
        <w:spacing w:before="0" w:after="0" w:line="240" w:lineRule="auto"/>
        <w:ind w:left="0" w:right="0" w:firstLine="0"/>
        <w:jc w:val="both"/>
      </w:pPr>
      <w:r>
        <w:rPr>
          <w:rFonts w:ascii="Times New Roman" w:hAnsi="Times New Roman" w:cs="Times New Roman" w:eastAsia="仿宋"/>
          <w:b w:val="0"/>
          <w:sz w:val="28"/>
        </w:rPr>
        <w:t>· Pal 认为 AI 代理可能为 Ethereum 和 Solana 带来更多活动，但他对 Solana 在市值上超越 Ethereum 持谨慎态度，称 Solana 的核心活动是投机且交易规模较小。</w:t>
      </w:r>
    </w:p>
    <w:p>
      <w:pPr>
        <w:pStyle w:val="正文内容"/>
        <w:spacing w:before="0" w:after="0" w:line="240" w:lineRule="auto"/>
        <w:ind w:left="0" w:right="0" w:firstLine="560"/>
        <w:jc w:val="both"/>
      </w:pPr>
      <w:r>
        <w:rPr>
          <w:rFonts w:ascii="Times New Roman" w:hAnsi="Times New Roman" w:cs="Times New Roman" w:eastAsia="仿宋"/>
          <w:b w:val="0"/>
          <w:sz w:val="28"/>
        </w:rPr>
        <w:t>Real Vision 创始人 Raoul Pal 在 Cointelegraph 最新一期 Trade Secrets 中表示，美元走弱可能给加密货币“绿灯”，并帮助延续行业涨势。他说，更高的债券收益率和强势美元正阻止流动性自由流动。“如果他们能设计美元走低，那么我们就会得到加密货币进一步走势的绿灯。”他说，“我不想过度兴奋，所以我没有对一切完全开绿灯。”美国美元指数（US Dollar Index）一直交投于今年最高水平。来源：TradingView。</w:t>
      </w:r>
    </w:p>
    <w:p>
      <w:pPr>
        <w:pStyle w:val="正文内容"/>
        <w:spacing w:before="0" w:after="0" w:line="240" w:lineRule="auto"/>
        <w:ind w:left="0" w:right="0" w:firstLine="560"/>
        <w:jc w:val="both"/>
      </w:pPr>
      <w:r>
        <w:rPr>
          <w:rFonts w:ascii="Times New Roman" w:hAnsi="Times New Roman" w:cs="Times New Roman" w:eastAsia="仿宋"/>
          <w:b w:val="0"/>
          <w:sz w:val="28"/>
        </w:rPr>
        <w:t>Pal 是最有经验的高知名度加密分析师之一，曾在 Goldman Sachs 欧洲从事对冲基金销售，并在 GLG Partners 共同管理一只全球宏观基金。他于2005年推出研究平台 Global Macro Investor，并于2014年共同创立金融媒体 Real Vision。Pal 说，他首次购买比特币是在2013年，此前将基于黄金的估值框架应用于该加密货币。</w:t>
      </w:r>
    </w:p>
    <w:p>
      <w:pPr>
        <w:pStyle w:val="正文内容"/>
        <w:spacing w:before="0" w:after="0" w:line="240" w:lineRule="auto"/>
        <w:ind w:left="0" w:right="0" w:firstLine="560"/>
        <w:jc w:val="both"/>
      </w:pPr>
      <w:r>
        <w:rPr>
          <w:rFonts w:ascii="Times New Roman" w:hAnsi="Times New Roman" w:cs="Times New Roman" w:eastAsia="仿宋"/>
          <w:b w:val="0"/>
          <w:sz w:val="28"/>
        </w:rPr>
        <w:t>比特币的周期复苏可以说发生在8月19日至8月25日之间，当时 BTC 上涨约25%至80，000美元。有趣的是，同期人工智能（Artificial Intelligence，AI）风向标股票 Nvidia 连续七个交易日下跌。Pal 说，AI 交易的暂停让资本轮动进入加密货币。“你可以看出目前周围存在这种流动性轮动，这意味着它还不充裕。”他说。比特币在8月上涨而 Nvidia 股价下跌。来源：TradingView。</w:t>
      </w:r>
    </w:p>
    <w:p>
      <w:pPr>
        <w:pStyle w:val="正文内容"/>
        <w:spacing w:before="0" w:after="0" w:line="240" w:lineRule="auto"/>
        <w:ind w:left="0" w:right="0" w:firstLine="560"/>
        <w:jc w:val="both"/>
      </w:pPr>
      <w:r>
        <w:rPr>
          <w:rFonts w:ascii="Times New Roman" w:hAnsi="Times New Roman" w:cs="Times New Roman" w:eastAsia="仿宋"/>
          <w:b w:val="0"/>
          <w:sz w:val="28"/>
        </w:rPr>
        <w:t>Pal 说，虽然人工智能（Artificial Intelligence，AI）一直在与加密货币争夺资金，但 AI 崩盘将是不受欢迎的前景，因为泡沫破裂将表明流动性正被“抽离系统”，同时威胁加密货币上涨所需的条件。“如果流动性充裕，事情不会破产。”他说。他偏好的结果是美元走弱、收益率曲线更陡峭，以及银行通过增加贷款扩大货币供应。然而，借贷成本一直在上升。美国10年期国债收益率（US 10-year Treasury yield）在9月攀升至5.29%，同时美联储（Fed）将基准利率上调25个基点。如果这些条件未实现，Pal 的“次优情景”是 AI 股票横盘交易，这将允许资本轮动进入加密货币。</w:t>
      </w:r>
    </w:p>
    <w:p>
      <w:pPr>
        <w:pStyle w:val="正文内容"/>
        <w:spacing w:before="0" w:after="0" w:line="240" w:lineRule="auto"/>
        <w:ind w:left="0" w:right="0" w:firstLine="560"/>
        <w:jc w:val="both"/>
      </w:pPr>
      <w:r>
        <w:rPr>
          <w:rFonts w:ascii="Times New Roman" w:hAnsi="Times New Roman" w:cs="Times New Roman" w:eastAsia="仿宋"/>
          <w:b w:val="0"/>
          <w:sz w:val="28"/>
        </w:rPr>
        <w:t>人工智能代理（AI agents）可能为 Ethereum 和 Solana 带来更多业务。AI 代理现在可以通过亚马逊云科技（Amazon Web Services）在6月推出的一项功能，使用稳定币（stablecoin）支付访问网络内容。Coinbase 通过其 x402 协议处理支付验证和结算，Base 上的 USDC 是支持的支付选项之一。Pal 说，代理最终可以通过发行代币（token）为可能持续“一周、一个月、一年”的项目融资，从而筹集运营所需资金，然后执行工作并产生回报。</w:t>
      </w:r>
    </w:p>
    <w:p>
      <w:pPr>
        <w:pStyle w:val="正文内容"/>
        <w:spacing w:before="0" w:after="0" w:line="240" w:lineRule="auto"/>
        <w:ind w:left="0" w:right="0" w:firstLine="560"/>
        <w:jc w:val="both"/>
      </w:pPr>
      <w:r>
        <w:rPr>
          <w:rFonts w:ascii="Times New Roman" w:hAnsi="Times New Roman" w:cs="Times New Roman" w:eastAsia="仿宋"/>
          <w:b w:val="0"/>
          <w:sz w:val="28"/>
        </w:rPr>
        <w:t>Pal 说，随着软件使用 Ethereum 和 Solana 的智能合约（smart contracts）进行交易，它们可能吸引更多活动。“我的猜测是，随着 AI 使用它们，它们会随着时间获得更多采用。”他说。他认为比特币将错过 AI 代理产生的大部分加密经济活动，这些活动可能流向 Ethereum 和 Solana 等智能合约平台。</w:t>
      </w:r>
    </w:p>
    <w:p>
      <w:pPr>
        <w:pStyle w:val="正文内容"/>
        <w:spacing w:before="0" w:after="0" w:line="240" w:lineRule="auto"/>
        <w:ind w:left="0" w:right="0" w:firstLine="560"/>
        <w:jc w:val="both"/>
      </w:pPr>
      <w:r>
        <w:rPr>
          <w:rFonts w:ascii="Times New Roman" w:hAnsi="Times New Roman" w:cs="Times New Roman" w:eastAsia="仿宋"/>
          <w:b w:val="0"/>
          <w:sz w:val="28"/>
        </w:rPr>
        <w:t>Ethereum 更大的资本集中度使 Pal 对 Solana 将在市值上超越 Ethereum 的说法持谨慎态度，尽管他对两个网络都热情。Multicoin Capital 联合创始人 Kyle Samani 上个月在 Trade Secrets 预测 SOL 将“在这个市场周期”超越 Ether 的市值。Pal 说 Samani“需要稍微按捺一下”，尽管他承认这是可能的。</w:t>
      </w:r>
    </w:p>
    <w:p>
      <w:pPr>
        <w:pStyle w:val="正文内容"/>
        <w:spacing w:before="0" w:after="0" w:line="240" w:lineRule="auto"/>
        <w:ind w:left="0" w:right="0" w:firstLine="560"/>
        <w:jc w:val="both"/>
      </w:pPr>
      <w:r>
        <w:rPr>
          <w:rFonts w:ascii="Times New Roman" w:hAnsi="Times New Roman" w:cs="Times New Roman" w:eastAsia="仿宋"/>
          <w:b w:val="0"/>
          <w:sz w:val="28"/>
        </w:rPr>
        <w:t>网络在不同指标上互相领先。根据 DefiLlama，Solana 在周一此前24小时内录得约320万个活跃地址，而 Ethereum 为387，000个。但 Ethereum 在去中心化金融（decentralized finance，DeFi）协议中约有544亿美元，远高于 Solana 的67亿美元。Pal 用他所谓的“经济密度（economic density）”比较网络，将总锁定价值（total value locked，TVL）除以活跃用户。他说 Ethereum 相对于用户数量吸引更多资本，而 Solana 的活动涉及较小金额。“Solana 的核心活动是投机。”他说，“只是更小的交易规模。”</w:t>
      </w:r>
    </w:p>
    <w:p>
      <w:pPr>
        <w:pStyle w:val="正文内容"/>
        <w:spacing w:before="0" w:after="0" w:line="240" w:lineRule="auto"/>
        <w:ind w:left="0" w:right="0" w:firstLine="560"/>
        <w:jc w:val="both"/>
      </w:pPr>
      <w:r>
        <w:rPr>
          <w:rFonts w:ascii="Times New Roman" w:hAnsi="Times New Roman" w:cs="Times New Roman" w:eastAsia="仿宋"/>
          <w:b w:val="0"/>
          <w:sz w:val="28"/>
        </w:rPr>
        <w:t>Pal 说，他已经停止给出公开价格目标，因为他的预测会被截取并在网上重新传播。他将到2030年比特币达到100万美元描述为一个“meme”，反映日益增长的采用、交易所交易基金（Exchange-Traded Fund，ETF）兴趣以及比特币作为抵押品的使用。“它会达到100万美元吗？我不知道，但当然到2032年，是的，我对此没有意见。”他说。</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原文标题：Capital starting to rotate back to crypto from AI： Raoul Pal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原文链接：https://cointelegraph.com/magazine/weaker-dollar-crypto-green-light-raoul-pal-trade-secrets</w:t>
      </w:r>
    </w:p>
    <w:p/>
    <w:p>
      <w:pPr>
        <w:pStyle w:val="文章一级标题"/>
        <w:spacing w:before="0" w:after="0" w:line="240" w:lineRule="auto"/>
        <w:ind w:left="0" w:right="0" w:firstLine="0"/>
        <w:jc w:val="center"/>
      </w:pPr>
      <w:r>
        <w:rPr>
          <w:rFonts w:ascii="Times New Roman" w:hAnsi="Times New Roman" w:cs="Times New Roman" w:eastAsia="黑体"/>
          <w:b w:val="0"/>
          <w:sz w:val="30"/>
        </w:rPr>
        <w:t>调查多数富裕投资者加仓加密资产理财顾问采用迟缓</w:t>
      </w:r>
    </w:p>
    <w:p>
      <w:pPr>
        <w:spacing w:before="0" w:after="0" w:line="240" w:lineRule="auto"/>
        <w:ind w:left="0" w:right="0" w:firstLine="0"/>
        <w:jc w:val="both"/>
      </w:pPr>
      <w:r>
        <w:rPr>
          <w:rFonts w:ascii="Times New Roman" w:hAnsi="Times New Roman" w:cs="Times New Roman" w:eastAsia="仿宋"/>
          <w:b w:val="0"/>
          <w:sz w:val="28"/>
        </w:rPr>
        <w:t>· CoinShares 调查显示，七个最大经济体中的多数富裕投资者持有数字资产，加密资产平均约占其投资组合 10%，持有比例从瑞典的 54% 到美国、英国、德国和瑞士的约 70% 不等。</w:t>
      </w:r>
    </w:p>
    <w:p>
      <w:pPr>
        <w:spacing w:before="0" w:after="0" w:line="240" w:lineRule="auto"/>
        <w:ind w:left="0" w:right="0" w:firstLine="0"/>
        <w:jc w:val="both"/>
      </w:pPr>
      <w:r>
        <w:rPr>
          <w:rFonts w:ascii="Times New Roman" w:hAnsi="Times New Roman" w:cs="Times New Roman" w:eastAsia="仿宋"/>
          <w:b w:val="0"/>
          <w:sz w:val="28"/>
        </w:rPr>
        <w:t>· 在七个国家中的五个，至少 85% 的现有数字资产投资者计划在 2026 年增加敞口，美国、英国和德国最高达 91%；2026 年 2 月的市场下跌几乎没有削弱这一意愿。</w:t>
      </w:r>
    </w:p>
    <w:p>
      <w:pPr>
        <w:spacing w:before="0" w:after="0" w:line="240" w:lineRule="auto"/>
        <w:ind w:left="0" w:right="0" w:firstLine="0"/>
        <w:jc w:val="both"/>
      </w:pPr>
      <w:r>
        <w:rPr>
          <w:rFonts w:ascii="Times New Roman" w:hAnsi="Times New Roman" w:cs="Times New Roman" w:eastAsia="仿宋"/>
          <w:b w:val="0"/>
          <w:sz w:val="28"/>
        </w:rPr>
        <w:t>· Ric Edelman 表示理财顾问采用数字资产仍然缓慢，并质疑调查中约 10% 的平均配置，称其自己的研究显示 2% 至 5% 更为普遍，但他建议的配置区间为 10% 至 40%。</w:t>
      </w:r>
    </w:p>
    <w:p>
      <w:pPr>
        <w:pStyle w:val="正文内容"/>
        <w:spacing w:before="0" w:after="0" w:line="240" w:lineRule="auto"/>
        <w:ind w:left="0" w:right="0" w:firstLine="560"/>
        <w:jc w:val="both"/>
      </w:pPr>
      <w:r>
        <w:rPr>
          <w:rFonts w:ascii="Times New Roman" w:hAnsi="Times New Roman" w:cs="Times New Roman" w:eastAsia="仿宋"/>
          <w:b w:val="0"/>
          <w:sz w:val="28"/>
        </w:rPr>
        <w:t>CoinShares 一项新调查显示，七个最大经济体中的多数富裕投资者持有数字资产，加密资产平均约占其投资组合的 10%。该调查覆盖美国、英国、法国、德国、意大利、瑞典和瑞士的 2，230 名投资者，其可投资资产至少为 500，000 美元。数字资产持有比例从瑞典的 54% 到美国、英国、德国和瑞士的约 70% 不等。</w:t>
      </w:r>
    </w:p>
    <w:p>
      <w:pPr>
        <w:pStyle w:val="正文内容"/>
        <w:spacing w:before="0" w:after="0" w:line="240" w:lineRule="auto"/>
        <w:ind w:left="0" w:right="0" w:firstLine="560"/>
        <w:jc w:val="both"/>
      </w:pPr>
      <w:r>
        <w:rPr>
          <w:rFonts w:ascii="Times New Roman" w:hAnsi="Times New Roman" w:cs="Times New Roman" w:eastAsia="仿宋"/>
          <w:b w:val="0"/>
          <w:sz w:val="28"/>
        </w:rPr>
        <w:t>在七个国家中的五个，当前数字资产投资者中至少有 85% 表示计划在 2026 年增加敞口，美国、英国和德国这一比例最高达 91%。2026 年 2 月的加密市场下跌几乎没有削弱这种意愿。在所有七个国家中，表示这次抛售使他们更可能投资数字资产的人数多于表示更不可能的人数。</w:t>
      </w:r>
    </w:p>
    <w:p>
      <w:pPr>
        <w:pStyle w:val="正文内容"/>
        <w:spacing w:before="0" w:after="0" w:line="240" w:lineRule="auto"/>
        <w:ind w:left="0" w:right="0" w:firstLine="560"/>
        <w:jc w:val="both"/>
      </w:pPr>
      <w:r>
        <w:rPr>
          <w:rFonts w:ascii="Times New Roman" w:hAnsi="Times New Roman" w:cs="Times New Roman" w:eastAsia="仿宋"/>
          <w:b w:val="0"/>
          <w:sz w:val="28"/>
        </w:rPr>
        <w:t>这种韧性似乎反映出对该资产类别的更长线看法。受访者给出的投资加密资产的首要理由是长期增值和多元化，而投机排在最后。仅有 6% 的受访者主要将自己定位为短期交易者。</w:t>
      </w:r>
    </w:p>
    <w:p>
      <w:pPr>
        <w:pStyle w:val="正文内容"/>
        <w:spacing w:before="0" w:after="0" w:line="240" w:lineRule="auto"/>
        <w:ind w:left="0" w:right="0" w:firstLine="560"/>
        <w:jc w:val="both"/>
      </w:pPr>
      <w:r>
        <w:rPr>
          <w:rFonts w:ascii="Times New Roman" w:hAnsi="Times New Roman" w:cs="Times New Roman" w:eastAsia="仿宋"/>
          <w:b w:val="0"/>
          <w:sz w:val="28"/>
        </w:rPr>
        <w:t>比特币仍是最广泛持有的数字资产，平均由 80% 的数字资产投资者持有，不过 89% 的 BTC 投资者还持有其他数字资产。同时，77% 的受访者认为 BTC 将在未来全球金融体系中发挥重要作用，79% 的受访者支持加强对数字资产市场的监管。</w:t>
      </w:r>
    </w:p>
    <w:p>
      <w:pPr>
        <w:pStyle w:val="正文内容"/>
        <w:spacing w:before="0" w:after="0" w:line="240" w:lineRule="auto"/>
        <w:ind w:left="0" w:right="0" w:firstLine="560"/>
        <w:jc w:val="both"/>
      </w:pPr>
      <w:r>
        <w:rPr>
          <w:rFonts w:ascii="Times New Roman" w:hAnsi="Times New Roman" w:cs="Times New Roman" w:eastAsia="仿宋"/>
          <w:b w:val="0"/>
          <w:sz w:val="28"/>
        </w:rPr>
        <w:t>加密资产敞口在年轻投资者中尤其高。在全部七个国家中，这一群体的数字资产配置都高于年长投资者，在其中四个国家约为年长投资者的两倍。</w:t>
      </w:r>
    </w:p>
    <w:p>
      <w:pPr>
        <w:pStyle w:val="正文内容"/>
        <w:spacing w:before="0" w:after="0" w:line="240" w:lineRule="auto"/>
        <w:ind w:left="0" w:right="0" w:firstLine="560"/>
        <w:jc w:val="both"/>
      </w:pPr>
      <w:r>
        <w:rPr>
          <w:rFonts w:ascii="Times New Roman" w:hAnsi="Times New Roman" w:cs="Times New Roman" w:eastAsia="仿宋"/>
          <w:b w:val="0"/>
          <w:sz w:val="28"/>
        </w:rPr>
        <w:t>调查还发现富裕投资者与其理财顾问之间存在脱节迹象。在瑞士、法国、美国和德国，约四成与理财顾问合作的受访者表示，他们认为顾问对数字资产过于谨慎。受访者对顾问的看法得到 Ric Edelman 的呼应，他是数字资产金融专业人士委员会和 Edelman Financial Engines 的创始人。</w:t>
      </w:r>
    </w:p>
    <w:p>
      <w:pPr>
        <w:pStyle w:val="正文内容"/>
        <w:spacing w:before="0" w:after="0" w:line="240" w:lineRule="auto"/>
        <w:ind w:left="0" w:right="0" w:firstLine="560"/>
        <w:jc w:val="both"/>
      </w:pPr>
      <w:r>
        <w:rPr>
          <w:rFonts w:ascii="Times New Roman" w:hAnsi="Times New Roman" w:cs="Times New Roman" w:eastAsia="仿宋"/>
          <w:b w:val="0"/>
          <w:sz w:val="28"/>
        </w:rPr>
        <w:t>Edelman 对 Cointelegraph 表示，理财顾问对数字资产的采用仍然缓慢，许多人缺乏了解该资产类别的知识或动力。他说：“顾问们很忙；他们已经在经营一个客户满意的成功业务——那为什么还要费心去学新东西？——而且大多数顾问从所在公司得到的鼓励极少甚至没有。”他补充说，一些公司禁止顾问与客户讨论加密资产或提供加密相关投资。其结果是，他说，顾问可能不知道自己的哪些客户持有加密资产，并可能错失围绕这些持仓提供税务、遗产规划和慈善服务的机会。</w:t>
      </w:r>
    </w:p>
    <w:p>
      <w:pPr>
        <w:pStyle w:val="正文内容"/>
        <w:spacing w:before="0" w:after="0" w:line="240" w:lineRule="auto"/>
        <w:ind w:left="0" w:right="0" w:firstLine="560"/>
        <w:jc w:val="both"/>
      </w:pPr>
      <w:r>
        <w:rPr>
          <w:rFonts w:ascii="Times New Roman" w:hAnsi="Times New Roman" w:cs="Times New Roman" w:eastAsia="仿宋"/>
          <w:b w:val="0"/>
          <w:sz w:val="28"/>
        </w:rPr>
        <w:t>Edelman 质疑 CoinShares 的调查结果，即富裕投资者的加密资产配置平均约为 10%；他说自己的研究显示 2% 至 5% 的配置更为普遍。尽管质疑该调查数据，Edelman 仍建议配置比例在 10% 至 40% 之间，具体取决于风险承受能力：保守型组合建议 10%，稳健型组合 25%，激进型组合 40%。</w:t>
      </w:r>
    </w:p>
    <w:p>
      <w:pPr>
        <w:pStyle w:val="正文内容"/>
        <w:spacing w:before="0" w:after="0" w:line="240" w:lineRule="auto"/>
        <w:ind w:left="0" w:right="0" w:firstLine="560"/>
        <w:jc w:val="both"/>
      </w:pPr>
      <w:r>
        <w:rPr>
          <w:rFonts w:ascii="Times New Roman" w:hAnsi="Times New Roman" w:cs="Times New Roman" w:eastAsia="仿宋"/>
          <w:b w:val="0"/>
          <w:sz w:val="28"/>
        </w:rPr>
        <w:t>Edelman 建议的配置比例与更广泛的怀疑态度形成对比。美国国家退休安全研究所 8 月的一项调查发现，77% 的美国人认为工作场所退休计划中的加密货币有风险，其中 46% 认为风险非常高。</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原文标题：Affluent investors seen boosting crypto exposure： Survey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原文链接：https://cointelegraph.com/news/majority-of-affluent-investors-across-7-countries-own-crypto-survey</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2026-09-30 15:42 至 2026-10-07 15:42（北京时间，最近7天）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