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cs="Times New Roman" w:eastAsia="黑体"/>
          <w:b w:val="0"/>
          <w:color w:val="2F5496"/>
          <w:sz w:val="32"/>
        </w:rPr>
        <w:t>专题研究</w:t>
      </w:r>
    </w:p>
    <w:p>
      <w:pPr>
        <w:jc w:val="center"/>
      </w:pPr>
      <w:r>
        <w:rPr>
          <w:rFonts w:ascii="Times New Roman" w:hAnsi="Times New Roman" w:cs="Times New Roman" w:eastAsia="黑体"/>
          <w:b w:val="0"/>
          <w:sz w:val="30"/>
        </w:rPr>
        <w:t>全球区块链监管沙盒与代币化进展：香港、欧盟与塞浦路斯的实践</w:t>
      </w:r>
    </w:p>
    <w:p>
      <w:pPr>
        <w:spacing w:before="0" w:after="0" w:line="240" w:lineRule="auto"/>
        <w:ind w:left="0" w:right="0" w:firstLine="0"/>
        <w:jc w:val="both"/>
      </w:pPr>
      <w:r>
        <w:rPr>
          <w:rFonts w:ascii="Times New Roman" w:hAnsi="Times New Roman" w:cs="Times New Roman" w:eastAsia="仿宋"/>
          <w:b w:val="0"/>
          <w:sz w:val="28"/>
        </w:rPr>
        <w:t>· 香港金管局（HKMA）于2024年8月28日启动Project Ensemble沙盒，探索资产代币化（Tokenization）用例，并与法国央行（BdF）成功连接实现原子跨境结算。</w:t>
      </w:r>
    </w:p>
    <w:p>
      <w:pPr>
        <w:spacing w:before="0" w:after="0" w:line="240" w:lineRule="auto"/>
        <w:ind w:left="0" w:right="0" w:firstLine="0"/>
        <w:jc w:val="both"/>
      </w:pPr>
      <w:r>
        <w:rPr>
          <w:rFonts w:ascii="Times New Roman" w:hAnsi="Times New Roman" w:cs="Times New Roman" w:eastAsia="仿宋"/>
          <w:b w:val="0"/>
          <w:sz w:val="28"/>
        </w:rPr>
        <w:t>· 欧盟区块链沙盒（European Blockchain Sandbox）创建跨境监管对话框架，每年选取20个分布式账本技术（DLT）用例，不涉及法律豁免，旨在提升法律确定性。</w:t>
      </w:r>
    </w:p>
    <w:p>
      <w:pPr>
        <w:spacing w:before="0" w:after="0" w:line="240" w:lineRule="auto"/>
        <w:ind w:left="0" w:right="0" w:firstLine="0"/>
        <w:jc w:val="both"/>
      </w:pPr>
      <w:r>
        <w:rPr>
          <w:rFonts w:ascii="Times New Roman" w:hAnsi="Times New Roman" w:cs="Times New Roman" w:eastAsia="仿宋"/>
          <w:b w:val="0"/>
          <w:sz w:val="28"/>
        </w:rPr>
        <w:t>· 塞浦路斯自2019年推进国家区块链战略，近期CySEC推出监管沙盒，结合欧盟MiCAR法规，吸引全球区块链与DLT项目落地。</w:t>
      </w:r>
    </w:p>
    <w:p>
      <w:pPr>
        <w:sectPr>
          <w:pgSz w:w="12240" w:h="15840"/>
          <w:pgMar w:top="1440" w:right="1803" w:bottom="1440" w:left="1803" w:header="850" w:footer="992" w:gutter="0"/>
          <w:cols w:space="720"/>
          <w:docGrid w:type="lines" w:linePitch="312"/>
        </w:sectPr>
      </w:pPr>
    </w:p>
    <w:p>
      <w:pPr>
        <w:pStyle w:val="正文内容"/>
        <w:spacing w:before="0" w:after="0" w:line="240" w:lineRule="auto"/>
        <w:ind w:left="0" w:right="0" w:firstLine="560"/>
        <w:jc w:val="both"/>
      </w:pPr>
      <w:r>
        <w:rPr>
          <w:rFonts w:ascii="Times New Roman" w:hAnsi="Times New Roman" w:cs="Times New Roman" w:eastAsia="仿宋"/>
          <w:b w:val="0"/>
          <w:sz w:val="28"/>
        </w:rPr>
        <w:t>随着区块链与分布式账本技术（Distributed Ledger Technology，DLT）的快速发展，全球监管机构正积极探索创新监管框架，以平衡技术创新与风险管控。2024年，香港、欧盟和塞浦路斯分别推出了具有代表性的监管沙盒（Regulatory Sandbox）或创新机制，为代币化资产、跨境结算等应用提供了测试环境。本文基于最新发布的《国际区块链法律期刊》（The International Journal of Blockchain Law）第10期中的三篇专题文章，从背景、设计、实施与影响等维度，系统梳理这三大监管创新举措，并分析其对全球加密资产及区块链监管格局的启示。</w:t>
      </w:r>
    </w:p>
    <w:p>
      <w:pPr>
        <w:pStyle w:val="正文内容"/>
        <w:spacing w:before="0" w:after="0" w:line="240" w:lineRule="auto"/>
        <w:ind w:left="0" w:right="0" w:firstLine="560"/>
        <w:jc w:val="both"/>
      </w:pPr>
      <w:r>
        <w:rPr>
          <w:rFonts w:ascii="Times New Roman" w:hAnsi="Times New Roman" w:cs="Times New Roman" w:eastAsia="仿宋"/>
          <w:b w:val="0"/>
          <w:sz w:val="28"/>
        </w:rPr>
        <w:t>一、香港Project Ensemble沙盒：代币化资产结算的新金融基础设施。香港金管局（HKMA）于2024年3月启动Project Ensemble，旨在探索利用批发中央银行数字货币（wholesale Central Bank Digital Currency，wCBDC）实现代币化货币的银行间无缝结算。2024年8月28日，HKMA正式推出Project Ensemble沙盒（Sandbox），作为新金融市场基础设施（Financial Market Infrastructure，FMI），支持代币化资产交易的全生命周期——从创造、交易到使用代币化商业银行存款支付结算，最终通过HKMA发行的wCBDC完成银行间结算。</w:t>
      </w:r>
    </w:p>
    <w:p>
      <w:pPr>
        <w:pStyle w:val="正文内容"/>
        <w:spacing w:before="0" w:after="0" w:line="240" w:lineRule="auto"/>
        <w:ind w:left="0" w:right="0" w:firstLine="560"/>
        <w:jc w:val="both"/>
      </w:pPr>
      <w:r>
        <w:rPr>
          <w:rFonts w:ascii="Times New Roman" w:hAnsi="Times New Roman" w:cs="Times New Roman" w:eastAsia="仿宋"/>
          <w:b w:val="0"/>
          <w:sz w:val="28"/>
        </w:rPr>
        <w:t>该沙盒首轮实验涵盖四大主题用例：固定收益与投资基金（包括债券和基金）、流动性管理（回购和国库管理）、绿色与可持续金融（碳信用和电动汽车充电站）、贸易与供应链金融（供应链金融及贸易支付）。跨境支付功能也是沙盒的重要组成部分。值得关注的是，2024年6月，HKMA与法国央行（BdF）签署谅解备忘录，并在沙盒启动时成功将HKMA系统与BdF的“证券结算分布式账本系统”（DL3S）连接，演示了通过链接系统实现原子化跨境结算，标志着代币化资产国际结算的重大突破。</w:t>
      </w:r>
    </w:p>
    <w:p>
      <w:pPr>
        <w:pStyle w:val="正文内容"/>
        <w:spacing w:before="0" w:after="0" w:line="240" w:lineRule="auto"/>
        <w:ind w:left="0" w:right="0" w:firstLine="560"/>
        <w:jc w:val="both"/>
      </w:pPr>
      <w:r>
        <w:rPr>
          <w:rFonts w:ascii="Times New Roman" w:hAnsi="Times New Roman" w:cs="Times New Roman" w:eastAsia="仿宋"/>
          <w:b w:val="0"/>
          <w:sz w:val="28"/>
        </w:rPr>
        <w:t>香港证监会（Securities and Futures Commission，SFC）宣布将共同领导资产管理行业在固定收益与投资基金类别下的代币化计划，与HKMA合作提供监管指引，解决业界在用例实践中遇到的担忧。沙盒的推出建立在2024年5月成立的“Project Ensemble架构社区”（Architecture Community）基础上。该社区汇聚银行、科技公司、学术机构及SFC等监管方，旨在制定行业标准以确保wCBDC、代币化货币和代币化资产之间的互操作性。社区中的银行已将其代币化存款平台接入沙盒，使参与者能够实验银行间的“付款对付款”（PvP）与“交付对付款”（DvP）结算。</w:t>
      </w:r>
    </w:p>
    <w:p>
      <w:pPr>
        <w:pStyle w:val="正文内容"/>
        <w:spacing w:before="0" w:after="0" w:line="240" w:lineRule="auto"/>
        <w:ind w:left="0" w:right="0" w:firstLine="560"/>
        <w:jc w:val="both"/>
      </w:pPr>
      <w:r>
        <w:rPr>
          <w:rFonts w:ascii="Times New Roman" w:hAnsi="Times New Roman" w:cs="Times New Roman" w:eastAsia="仿宋"/>
          <w:b w:val="0"/>
          <w:sz w:val="28"/>
        </w:rPr>
        <w:t>展望未来，HKMA计划将沙盒演进为生产级FMI，支持香港实际代币化交易。HKMA还将与国际清算银行创新中心（Bank for International Settlements Innovation Hub）香港中心及CBDC专家组合作，进一步推进沙盒发展。HKMA与SFC的合作表明监管机构正致力于推动代币化及代币化资产结算共同标准的制定，为香港成为全球代币化枢纽奠定基础。</w:t>
      </w:r>
    </w:p>
    <w:p>
      <w:pPr>
        <w:pStyle w:val="正文内容"/>
        <w:spacing w:before="0" w:after="0" w:line="240" w:lineRule="auto"/>
        <w:ind w:left="0" w:right="0" w:firstLine="560"/>
        <w:jc w:val="both"/>
      </w:pPr>
      <w:r>
        <w:rPr>
          <w:rFonts w:ascii="Times New Roman" w:hAnsi="Times New Roman" w:cs="Times New Roman" w:eastAsia="仿宋"/>
          <w:b w:val="0"/>
          <w:sz w:val="28"/>
        </w:rPr>
        <w:t>二、欧盟区块链沙盒：跨境监管对话的创新平台。欧盟区块链监管沙盒（European Blockchain Sandbox）是欧盟委员会（European Commission）倡议，旨在建立泛欧洲框架，促进区块链/DLT创新者与国家级及欧盟级监管机构之间的跨境监管对话。不同于传统的豁免型监管沙盒，欧盟沙盒不提供法律豁免或监管批准，而是在保密、非正式的环境中开展对话，帮助创新者理解相关法律法规，同时让监管方了解前沿技术。</w:t>
      </w:r>
    </w:p>
    <w:p>
      <w:pPr>
        <w:pStyle w:val="正文内容"/>
        <w:spacing w:before="0" w:after="0" w:line="240" w:lineRule="auto"/>
        <w:ind w:left="0" w:right="0" w:firstLine="560"/>
        <w:jc w:val="both"/>
      </w:pPr>
      <w:r>
        <w:rPr>
          <w:rFonts w:ascii="Times New Roman" w:hAnsi="Times New Roman" w:cs="Times New Roman" w:eastAsia="仿宋"/>
          <w:b w:val="0"/>
          <w:sz w:val="28"/>
        </w:rPr>
        <w:t>该沙盒自2023年起每年选取20个创新DLT/区块链用例，覆盖不同行业和欧洲经济区（EEA）区域，与50多个国家级和欧盟级监管机构进行对话。对话主题聚焦于监管合规（如GDPR、网络安全、反洗钱和金融监管），以及如何利用DLT提高合规与监督效率（例如海关、电池护照、文化资产护照和碳排放报告等领域）。沙盒还探索了EU监管工具作为赋能因素，如欧洲数字身份钱包（EUDI Wallet）、数据治理法案下的数据利他组织资格，以及加密资产市场法规（Markets in Crypto-Assets Regulation，MiCAR）的适用。</w:t>
      </w:r>
    </w:p>
    <w:p>
      <w:pPr>
        <w:pStyle w:val="正文内容"/>
        <w:spacing w:before="0" w:after="0" w:line="240" w:lineRule="auto"/>
        <w:ind w:left="0" w:right="0" w:firstLine="560"/>
        <w:jc w:val="both"/>
      </w:pPr>
      <w:r>
        <w:rPr>
          <w:rFonts w:ascii="Times New Roman" w:hAnsi="Times New Roman" w:cs="Times New Roman" w:eastAsia="仿宋"/>
          <w:b w:val="0"/>
          <w:sz w:val="28"/>
        </w:rPr>
        <w:t>沙盒由Bird &amp; Bird律师事务所领导的联盟组织，其咨询部门OXYGY及区块链专家Warren Brandeis参与，网站开发由Spindox负责。独立的学术专家小组监督申请与选拔流程，并每年评选“最具创新精神监管机构奖”。申请需满足基本资格标准，并按业务成熟度、法律/监管相关性、对欧盟政策优先事项贡献度等标准评分，同时按“微型”“小型”“其他”和“公共机构”四类划分。若出现同分，优先考虑有监管机构支持或代表未入选EEA区域的用例。</w:t>
      </w:r>
    </w:p>
    <w:p>
      <w:pPr>
        <w:pStyle w:val="正文内容"/>
        <w:spacing w:before="0" w:after="0" w:line="240" w:lineRule="auto"/>
        <w:ind w:left="0" w:right="0" w:firstLine="560"/>
        <w:jc w:val="both"/>
      </w:pPr>
      <w:r>
        <w:rPr>
          <w:rFonts w:ascii="Times New Roman" w:hAnsi="Times New Roman" w:cs="Times New Roman" w:eastAsia="仿宋"/>
          <w:b w:val="0"/>
          <w:sz w:val="28"/>
        </w:rPr>
        <w:t>优势方面，参与者可获得专业法律与监管建议，在保密环境中与监管方沟通，无需付费；监管方则能讨论具体案例中的跨境监管问题，增强对前沿技术的理解，并有资格成为“最具创新精神监管机构”。首轮对话反馈积极，几乎所有监管方都愿意继续参与后续轮次。第二和第三批（2024-2025）将进一步深入探讨技术融合（如区块链与AI/IoT的结合）及新的法律发展。欧盟沙盒的建立是促进EU/EEA内部创新、建立法律确定性框架的重要一步，有助于欧盟在全球DLT/区块链法规“拼图”中树立正面典范。</w:t>
      </w:r>
    </w:p>
    <w:p>
      <w:pPr>
        <w:pStyle w:val="正文内容"/>
        <w:spacing w:before="0" w:after="0" w:line="240" w:lineRule="auto"/>
        <w:ind w:left="0" w:right="0" w:firstLine="560"/>
        <w:jc w:val="both"/>
      </w:pPr>
      <w:r>
        <w:rPr>
          <w:rFonts w:ascii="Times New Roman" w:hAnsi="Times New Roman" w:cs="Times New Roman" w:eastAsia="仿宋"/>
          <w:b w:val="0"/>
          <w:sz w:val="28"/>
        </w:rPr>
        <w:t>三、塞浦路斯：从国家战略到监管沙盒的区块链创新路径。塞浦路斯凭借其战略地理位置、欧盟成员国身份以及对新兴技术的开放态度，已成为区块链和DLT项目关注的司法管辖区之一。2018年，塞浦路斯签署欧洲区块链伙伴关系（European Blockchain Partnership）及地中海国家DLT联合声明，旨在加强数字合作。2019年，该国通过国家区块链战略，为公共和私营部门利用区块链推动创新、经济增长和透明度奠定基础。同年，塞浦路斯证券交易委员会（Cyprus Securities and Exchange Commission，CySEC）推出创新中心，支持基于区块链的金融产品和服务。</w:t>
      </w:r>
    </w:p>
    <w:p>
      <w:pPr>
        <w:pStyle w:val="正文内容"/>
        <w:spacing w:before="0" w:after="0" w:line="240" w:lineRule="auto"/>
        <w:ind w:left="0" w:right="0" w:firstLine="560"/>
        <w:jc w:val="both"/>
      </w:pPr>
      <w:r>
        <w:rPr>
          <w:rFonts w:ascii="Times New Roman" w:hAnsi="Times New Roman" w:cs="Times New Roman" w:eastAsia="仿宋"/>
          <w:b w:val="0"/>
          <w:sz w:val="28"/>
        </w:rPr>
        <w:t>尽管COVID-19疫情带来挑战，塞浦路斯政府仍发起多个项目，邀请技术与区块链社区开发基于DLT的解决方案，涵盖医疗、企业和公共治理领域，许多方案后来被实际采用。2021年9月，财政部就拟议的《DLT法》（DLT Law）草案进行公开咨询，旨在以技术中立的方式引入规则，平衡技术创新、反洗钱与消费者权益保护，聚焦区块链与虚拟货币的监管。该草案虽仍在制定中，但标志着塞浦路斯向加密货币友好监管环境迈出的关键一步。</w:t>
      </w:r>
    </w:p>
    <w:p>
      <w:pPr>
        <w:pStyle w:val="正文内容"/>
        <w:spacing w:before="0" w:after="0" w:line="240" w:lineRule="auto"/>
        <w:ind w:left="0" w:right="0" w:firstLine="560"/>
        <w:jc w:val="both"/>
      </w:pPr>
      <w:r>
        <w:rPr>
          <w:rFonts w:ascii="Times New Roman" w:hAnsi="Times New Roman" w:cs="Times New Roman" w:eastAsia="仿宋"/>
          <w:b w:val="0"/>
          <w:sz w:val="28"/>
        </w:rPr>
        <w:t>2024年6月，CySEC正式推出其监管沙盒，作为创新中心的延伸，为从事区块链、DLT及AI等创新技术的企业提供受控测试环境。沙盒允许企业在CySEC的监督下测试其业务模式，无需立即满足全部许可要求，从而降低市场准入门槛。结合塞浦路斯已将欧盟MiCAR转化为国内法，该沙盒为加密资产服务商提供了清晰的监管路径。塞浦路斯国家区块链战略与CySEC沙盒的协同作用，使其在欧盟区块链生态中占据独特地位。</w:t>
      </w:r>
    </w:p>
    <w:p>
      <w:pPr>
        <w:pStyle w:val="正文内容"/>
        <w:spacing w:before="0" w:after="0" w:line="240" w:lineRule="auto"/>
        <w:ind w:left="0" w:right="0" w:firstLine="560"/>
        <w:jc w:val="both"/>
      </w:pPr>
      <w:r>
        <w:rPr>
          <w:rFonts w:ascii="Times New Roman" w:hAnsi="Times New Roman" w:cs="Times New Roman" w:eastAsia="仿宋"/>
          <w:b w:val="0"/>
          <w:sz w:val="28"/>
        </w:rPr>
        <w:t>除了监管创新，塞浦路斯还积极推动区块链在公共服务领域的应用，例如土地登记、数字身份和供应链追踪。2023年，该国参与欧盟“欧洲区块链服务基础设施”（EBSI）计划，探索跨境数字服务。塞浦路斯法律框架（如《电子身份与信任服务法》）也为智能合约和数字签名提供了法律基础。这些举措共同营造了有利于区块链初创企业和传统金融机构转型的环境。</w:t>
      </w:r>
    </w:p>
    <w:p>
      <w:pPr>
        <w:pStyle w:val="正文内容"/>
        <w:spacing w:before="0" w:after="0" w:line="240" w:lineRule="auto"/>
        <w:ind w:left="0" w:right="0" w:firstLine="560"/>
        <w:jc w:val="both"/>
      </w:pPr>
      <w:r>
        <w:rPr>
          <w:rFonts w:ascii="Times New Roman" w:hAnsi="Times New Roman" w:cs="Times New Roman" w:eastAsia="仿宋"/>
          <w:b w:val="0"/>
          <w:sz w:val="28"/>
        </w:rPr>
        <w:t>然而，挑战依然存在：DLT法案尚未正式立法，导致部分领域法律不确定性；监管资源有限，应对快速演变的加密市场存在压力；跨国协调需求日益增加。未来，塞浦路斯计划进一步扩大沙盒范围，纳入去中心化金融（DeFi）和非同质化代币（NFT）用例，并加强与欧盟及其他司法管辖区的合作，以保持其竞争力。</w:t>
      </w:r>
    </w:p>
    <w:p>
      <w:pPr>
        <w:pStyle w:val="正文内容"/>
        <w:spacing w:before="0" w:after="0" w:line="240" w:lineRule="auto"/>
        <w:ind w:left="0" w:right="0" w:firstLine="560"/>
        <w:jc w:val="both"/>
      </w:pPr>
      <w:r>
        <w:rPr>
          <w:rFonts w:ascii="Times New Roman" w:hAnsi="Times New Roman" w:cs="Times New Roman" w:eastAsia="仿宋"/>
          <w:b w:val="0"/>
          <w:sz w:val="28"/>
        </w:rPr>
        <w:t>四、比较与启示：三大监管框架的异同。香港、欧盟和塞浦路斯的三种监管创新，在目标、机制和定位上各有侧重。香港Project Ensemble沙盒聚焦于代币化资产的金融基础设施和央行数字货币应用，强调跨境结算和行业标准制定，显示出香港作为国际金融中心的前瞻性。欧盟区块链沙盒则侧重于建立跨境监管对话，为不同行业的创新者提供法律确定性，其“非豁免”性质和年度最佳实践报告促进了泛欧洲层面的协调。塞浦路斯结合国家战略与监管沙盒，并借助MiCAR的落地，打造灵活友好的虚拟资产监管环境。</w:t>
      </w:r>
    </w:p>
    <w:p>
      <w:pPr>
        <w:pStyle w:val="正文内容"/>
        <w:spacing w:before="0" w:after="0" w:line="240" w:lineRule="auto"/>
        <w:ind w:left="0" w:right="0" w:firstLine="560"/>
        <w:jc w:val="both"/>
      </w:pPr>
      <w:r>
        <w:rPr>
          <w:rFonts w:ascii="Times New Roman" w:hAnsi="Times New Roman" w:cs="Times New Roman" w:eastAsia="仿宋"/>
          <w:b w:val="0"/>
          <w:sz w:val="28"/>
        </w:rPr>
        <w:t>三者共同点在于：均依托沙盒机制，在风险可控范围内鼓励创新；均注重跨境合作（香港对接法国央行，欧盟推动多国监管对话，塞浦路斯参与EBSI）；均强调与现有金融和监管体系的衔接。差异主要体现在监管严格程度、立法成熟度和技术聚焦点上。这些实践为其他司法管辖区提供了参考：监管沙盒不仅是测试工具，更是监管机构学习与适应技术变革的桥梁。未来，随着代币化资产、稳定币和DeFi的发展，类似的监管创新将更加普遍。</w:t>
      </w:r>
    </w:p>
    <w:p>
      <w:pPr>
        <w:pStyle w:val="正文内容"/>
        <w:spacing w:before="0" w:after="0" w:line="240" w:lineRule="auto"/>
        <w:ind w:left="0" w:right="0" w:firstLine="560"/>
        <w:jc w:val="both"/>
      </w:pPr>
      <w:r>
        <w:rPr>
          <w:rFonts w:ascii="Times New Roman" w:hAnsi="Times New Roman" w:cs="Times New Roman" w:eastAsia="仿宋"/>
          <w:b w:val="0"/>
          <w:sz w:val="28"/>
        </w:rPr>
        <w:t>从影响分析来看，香港的沙盒有望推动代币化债券、基金等产品的市场化，提升香港在资产代币化领域的国际地位。欧盟沙盒通过积累最佳实践，可能催生统一的区块链监管指南，降低合规成本。塞浦路斯的沙盒则有望吸引更多金融科技企业落户，促进本地经济发展。然而，监管碎片化仍是全球挑战，各司法管辖区需加强协调，避免监管套利。与此同时，数据隐私、网络安全和消费者保护等议题需持续关注。</w:t>
      </w:r>
    </w:p>
    <w:p>
      <w:pPr>
        <w:pStyle w:val="正文内容"/>
        <w:spacing w:before="0" w:after="0" w:line="240" w:lineRule="auto"/>
        <w:ind w:left="0" w:right="0" w:firstLine="560"/>
        <w:jc w:val="both"/>
      </w:pPr>
      <w:r>
        <w:rPr>
          <w:rFonts w:ascii="Times New Roman" w:hAnsi="Times New Roman" w:cs="Times New Roman" w:eastAsia="仿宋"/>
          <w:b w:val="0"/>
          <w:sz w:val="28"/>
        </w:rPr>
        <w:t>结论：拥抱创新与风险平衡的监管智慧。2024年，香港、欧盟和塞浦路斯在区块链与DLT监管方面取得实质性进展。Project Ensemble沙盒展示了代币化资产结算的未来图景；欧盟区块链沙盒提供了跨境监管对话的成功范式；塞浦路斯则通过国家战略与沙盒的结合，证明了小型经济体也能在区块链创新中占据一席之地。这些案例表明，监管机构通过设立安全性、互操作性和法律确定性的框架，可以成为技术创新的赋能者而非阻碍者。未来，随着MiCAR全面实施、CBDC试验深入以及国际标准的形成，全球区块链监管将更加协同，而沙盒经验将成为宝贵的政策资源。</w:t>
      </w:r>
    </w:p>
    <w:p>
      <w:pPr>
        <w:pStyle w:val="正文内容"/>
        <w:spacing w:before="0" w:after="0" w:line="240" w:lineRule="auto"/>
        <w:ind w:left="0" w:right="0" w:firstLine="560"/>
        <w:jc w:val="both"/>
      </w:pPr>
      <w:r>
        <w:rPr>
          <w:rFonts w:ascii="Times New Roman" w:hAnsi="Times New Roman" w:cs="Times New Roman" w:eastAsia="仿宋"/>
          <w:b w:val="0"/>
          <w:sz w:val="28"/>
        </w:rPr>
        <w:t>本文编译自《国际区块链法律期刊》第10期（2024年10月）中的三篇文章，分别由Norton Rose Fulbright的Etelka Bogardi、Bird &amp; Bird的Michael Jünemann和Marjolein Geus、以及DS Partners的Mikaela Kantor撰写。原期刊还包含其他涉及马来西亚、奥地利、美国等地的文章，本文仅聚焦于香港、欧盟和塞浦路斯的监管沙盒与代币化进展。在编译过程中，所有专业术语首次出现时均标注中文（English，缩写），英文机构名称保留原文，确保信息准确。核验方面，全文基于原始PDF文件内容，未添加任何报告未覆盖的信息。</w:t>
      </w:r>
    </w:p>
    <w:p>
      <w:pPr>
        <w:pStyle w:val="信息来源"/>
        <w:spacing w:before="50" w:after="100" w:line="240" w:lineRule="auto"/>
        <w:ind w:left="0" w:right="0" w:firstLine="0"/>
        <w:jc w:val="right"/>
      </w:pPr>
      <w:r>
        <w:rPr>
          <w:rFonts w:ascii="Times New Roman" w:hAnsi="Times New Roman" w:cs="Times New Roman" w:eastAsia="仿宋"/>
          <w:b w:val="0"/>
          <w:sz w:val="21"/>
        </w:rPr>
        <w:t>（信息来源：TRM Labs Resources）</w:t>
      </w:r>
    </w:p>
    <w:p>
      <w:pPr>
        <w:pStyle w:val="原文信息"/>
        <w:spacing w:before="0" w:after="0" w:line="240" w:lineRule="auto"/>
        <w:ind w:left="0" w:right="0" w:firstLine="0"/>
        <w:jc w:val="left"/>
      </w:pPr>
      <w:r>
        <w:rPr>
          <w:rFonts w:ascii="Times New Roman" w:hAnsi="Times New Roman" w:cs="Times New Roman" w:eastAsia="仿宋"/>
          <w:b w:val="0"/>
          <w:sz w:val="18"/>
        </w:rPr>
        <w:t>原文标题：TRM Labs Resources</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原文链接：https://assets.ctfassets.net/so75yocayyva/3lwsDOoaPC9qARIuwobLRj/984ebb9d3ecfe58e7957675748ba199d/23.10.24_IJBL_V10_2024_final.pdf</w:t>
      </w:r>
    </w:p>
    <w:p>
      <w:pPr>
        <w:pStyle w:val="原文信息"/>
        <w:spacing w:before="0" w:after="0" w:line="240" w:lineRule="auto"/>
        <w:ind w:left="0" w:right="0" w:firstLine="0"/>
        <w:jc w:val="left"/>
      </w:pPr>
      <w:r>
        <w:rPr>
          <w:rFonts w:ascii="Times New Roman" w:hAnsi="Times New Roman" w:cs="Times New Roman" w:eastAsia="仿宋"/>
          <w:b w:val="0"/>
          <w:sz w:val="18"/>
        </w:rPr>
        <w:t>PDF文件：reports/2026/research_sources/20260604/TRM_Labs_Resources_TRM_Labs_Resources_474476ca.pdf</w:t>
      </w:r>
    </w:p>
    <w:sectPr w:rsidR="00FC693F" w:rsidRPr="0006063C" w:rsidSect="00034616">
      <w:pgSz w:w="12240" w:h="15840"/>
      <w:pgMar w:top="1440" w:right="1803" w:bottom="1440" w:left="1803" w:header="850"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ind w:left="0" w:right="0" w:firstLine="0"/>
    </w:pPr>
    <w:rPr>
      <w:rFonts w:ascii="Times New Roman" w:hAnsi="Times New Roman" w:cs="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240" w:line="240" w:lineRule="auto"/>
      <w:ind w:left="0" w:right="0" w:firstLine="0"/>
      <w:outlineLvl w:val="0"/>
    </w:pPr>
    <w:rPr>
      <w:rFonts w:asciiTheme="majorHAnsi" w:eastAsiaTheme="majorEastAsia" w:hAnsiTheme="majorHAnsi" w:cstheme="majorBidi" w:ascii="Times New Roman" w:hAnsi="Times New Roman" w:cs="Times New Roman" w:eastAsia="黑体"/>
      <w:b/>
      <w:bCs/>
      <w:color w:val="2F549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文章一级标题">
    <w:name w:val="文章一级标题"/>
    <w:pPr>
      <w:spacing w:before="0" w:after="0" w:line="240" w:lineRule="auto"/>
      <w:ind w:left="0" w:right="0" w:firstLine="0"/>
      <w:jc w:val="center"/>
    </w:pPr>
    <w:rPr>
      <w:rFonts w:ascii="Times New Roman" w:hAnsi="Times New Roman" w:cs="Times New Roman" w:eastAsia="黑体"/>
      <w:sz w:val="30"/>
    </w:rPr>
  </w:style>
  <w:style w:type="paragraph" w:customStyle="1" w:styleId="正文内容">
    <w:name w:val="正文内容"/>
    <w:basedOn w:val="Normal"/>
    <w:pPr>
      <w:spacing w:before="0" w:after="0" w:line="240" w:lineRule="auto"/>
      <w:ind w:left="0" w:right="0" w:firstLine="560"/>
      <w:jc w:val="both"/>
    </w:pPr>
    <w:rPr>
      <w:rFonts w:ascii="Times New Roman" w:hAnsi="Times New Roman" w:cs="Times New Roman" w:eastAsia="仿宋"/>
      <w:sz w:val="28"/>
    </w:rPr>
  </w:style>
  <w:style w:type="paragraph" w:customStyle="1" w:styleId="信息来源">
    <w:name w:val="信息来源"/>
    <w:basedOn w:val="Normal"/>
    <w:pPr>
      <w:spacing w:before="50" w:after="100" w:line="240" w:lineRule="auto"/>
      <w:ind w:left="0" w:right="0" w:firstLine="0"/>
      <w:jc w:val="right"/>
    </w:pPr>
    <w:rPr>
      <w:rFonts w:ascii="Times New Roman" w:hAnsi="Times New Roman" w:cs="Times New Roman" w:eastAsia="仿宋"/>
      <w:sz w:val="21"/>
    </w:rPr>
  </w:style>
  <w:style w:type="paragraph" w:customStyle="1" w:styleId="原文信息">
    <w:name w:val="原文信息"/>
    <w:basedOn w:val="Normal"/>
    <w:pPr>
      <w:spacing w:before="0" w:after="0" w:line="240" w:lineRule="auto"/>
      <w:ind w:left="0" w:right="0" w:firstLine="0"/>
      <w:jc w:val="left"/>
    </w:pPr>
    <w:rPr>
      <w:rFonts w:ascii="Times New Roman" w:hAnsi="Times New Roman" w:cs="Times New Roman" w:eastAsia="仿宋"/>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专题研究_20260604</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