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英国金融监管机构打击英超联赛加密货币合作伙伴关系</w:t>
      </w:r>
    </w:p>
    <w:p>
      <w:pPr>
        <w:pStyle w:val="ListParagraph"/>
        <w:spacing w:before="0" w:after="0" w:line="360" w:lineRule="auto"/>
        <w:ind w:left="0" w:firstLine="0"/>
      </w:pPr>
      <w:r>
        <w:rPr>
          <w:rFonts w:ascii="Times New Roman" w:hAnsi="Times New Roman" w:cs="Times New Roman" w:eastAsia="楷体"/>
          <w:b w:val="0"/>
          <w:sz w:val="28"/>
        </w:rPr>
        <w:t>· 美国财政部制裁伊朗加密货币交易所诺比特斯指控其资助恐怖主义</w:t>
      </w:r>
    </w:p>
    <w:p>
      <w:pPr>
        <w:pStyle w:val="ListParagraph"/>
        <w:spacing w:before="0" w:after="0" w:line="360" w:lineRule="auto"/>
        <w:ind w:left="0" w:firstLine="0"/>
      </w:pPr>
      <w:r>
        <w:rPr>
          <w:rFonts w:ascii="Times New Roman" w:hAnsi="Times New Roman" w:cs="Times New Roman" w:eastAsia="楷体"/>
          <w:b w:val="0"/>
          <w:sz w:val="28"/>
        </w:rPr>
        <w:t>· 加拿大稳定币法案取得立法进展</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以太坊“Glamsterdam”升级瞄准第三季度价格目标3500美元</w:t>
      </w:r>
    </w:p>
    <w:p>
      <w:pPr>
        <w:pStyle w:val="ListParagraph"/>
        <w:spacing w:before="0" w:after="0" w:line="360" w:lineRule="auto"/>
        <w:ind w:left="0" w:firstLine="0"/>
      </w:pPr>
      <w:r>
        <w:rPr>
          <w:rFonts w:ascii="Times New Roman" w:hAnsi="Times New Roman" w:cs="Times New Roman" w:eastAsia="楷体"/>
          <w:b w:val="0"/>
          <w:sz w:val="28"/>
        </w:rPr>
        <w:t>· MoonPay推出桌面应用MoonAgents连接AI模型与加密钱包</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Mastercard通过稳定币扩展信用卡结算支持全天候运营</w:t>
      </w:r>
    </w:p>
    <w:p>
      <w:pPr>
        <w:pStyle w:val="ListParagraph"/>
        <w:spacing w:before="0" w:after="0" w:line="360" w:lineRule="auto"/>
        <w:ind w:left="0" w:firstLine="0"/>
      </w:pPr>
      <w:r>
        <w:rPr>
          <w:rFonts w:ascii="Times New Roman" w:hAnsi="Times New Roman" w:cs="Times New Roman" w:eastAsia="楷体"/>
          <w:b w:val="0"/>
          <w:sz w:val="28"/>
        </w:rPr>
        <w:t>· Hyperliquid永续合约市场份额创纪录HIP3月交易量超620亿美元</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BenCowen预测比特币10月可能见底称4年周期并非BTC独有</w:t>
      </w:r>
    </w:p>
    <w:p>
      <w:pPr>
        <w:pStyle w:val="ListParagraph"/>
        <w:spacing w:before="0" w:after="0" w:line="360" w:lineRule="auto"/>
        <w:ind w:left="0" w:firstLine="0"/>
      </w:pPr>
      <w:r>
        <w:rPr>
          <w:rFonts w:ascii="Times New Roman" w:hAnsi="Times New Roman" w:cs="Times New Roman" w:eastAsia="楷体"/>
          <w:b w:val="0"/>
          <w:sz w:val="28"/>
        </w:rPr>
        <w:t>· 经济学家AlexKrüger称加密货币为失败资产类别但肯定比特币与区块链</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英国金融监管机构打击英超联赛加密货币合作伙伴关系</w:t>
      </w:r>
    </w:p>
    <w:p>
      <w:pPr>
        <w:spacing w:before="0" w:after="0" w:line="240" w:lineRule="auto"/>
        <w:ind w:left="0" w:right="0" w:firstLine="0"/>
        <w:jc w:val="both"/>
      </w:pPr>
      <w:r>
        <w:rPr>
          <w:rFonts w:ascii="Times New Roman" w:hAnsi="Times New Roman" w:cs="Times New Roman" w:eastAsia="仿宋"/>
          <w:b w:val="0"/>
          <w:sz w:val="28"/>
        </w:rPr>
        <w:t>· 英国金融行为监管局警告未授权企业可能通过高调赞助违反金融促销规定。</w:t>
      </w:r>
    </w:p>
    <w:p>
      <w:pPr>
        <w:spacing w:before="0" w:after="0" w:line="240" w:lineRule="auto"/>
        <w:ind w:left="0" w:right="0" w:firstLine="0"/>
        <w:jc w:val="both"/>
      </w:pPr>
      <w:r>
        <w:rPr>
          <w:rFonts w:ascii="Times New Roman" w:hAnsi="Times New Roman" w:cs="Times New Roman" w:eastAsia="仿宋"/>
          <w:b w:val="0"/>
          <w:sz w:val="28"/>
        </w:rPr>
        <w:t>· 英超俱乐部与加密货币公司的合作面临更严格监管审查。</w:t>
      </w:r>
    </w:p>
    <w:p>
      <w:pPr>
        <w:pStyle w:val="正文内容"/>
        <w:spacing w:before="0" w:after="0" w:line="240" w:lineRule="auto"/>
        <w:ind w:left="0" w:right="0" w:firstLine="560"/>
        <w:jc w:val="both"/>
      </w:pPr>
      <w:r>
        <w:rPr>
          <w:rFonts w:ascii="Times New Roman" w:hAnsi="Times New Roman" w:cs="Times New Roman" w:eastAsia="仿宋"/>
          <w:b w:val="0"/>
          <w:sz w:val="28"/>
        </w:rPr>
        <w:t>英国金融行为监管局（FCA）于2026年6月3日发出警告，指出未授权企业可能通过高调的赞助协议违反金融促销规则，此举针对英超联赛的加密货币合作伙伴关系。</w:t>
      </w:r>
    </w:p>
    <w:p>
      <w:pPr>
        <w:pStyle w:val="正文内容"/>
        <w:spacing w:before="0" w:after="0" w:line="240" w:lineRule="auto"/>
        <w:ind w:left="0" w:right="0" w:firstLine="560"/>
        <w:jc w:val="both"/>
      </w:pPr>
      <w:r>
        <w:rPr>
          <w:rFonts w:ascii="Times New Roman" w:hAnsi="Times New Roman" w:cs="Times New Roman" w:eastAsia="仿宋"/>
          <w:b w:val="0"/>
          <w:sz w:val="28"/>
        </w:rPr>
        <w:t>英国金融行为监管局（Financial Conduct Authority，FCA）在2026年6月3日发布声明，明确警告未获得授权的加密货币企业可能通过英超联赛的高调赞助协议违反金融促销规定。这一表态标志着监管机构对体育行业与数字资产交叉领域的进一步收紧。</w:t>
      </w:r>
    </w:p>
    <w:p>
      <w:pPr>
        <w:pStyle w:val="正文内容"/>
        <w:spacing w:before="0" w:after="0" w:line="240" w:lineRule="auto"/>
        <w:ind w:left="0" w:right="0" w:firstLine="560"/>
        <w:jc w:val="both"/>
      </w:pPr>
      <w:r>
        <w:rPr>
          <w:rFonts w:ascii="Times New Roman" w:hAnsi="Times New Roman" w:cs="Times New Roman" w:eastAsia="仿宋"/>
          <w:b w:val="0"/>
          <w:sz w:val="28"/>
        </w:rPr>
        <w:t>FCA指出，部分加密货币公司通过赞助英超俱乐部获得品牌曝光，但未遵守金融促销的合规要求。根据英国现行法律，任何面向英国消费者的金融促销活动必须由授权实体批准或由其本身进行，违规者可能面临罚款或其他执法行动。</w:t>
      </w:r>
    </w:p>
    <w:p>
      <w:pPr>
        <w:pStyle w:val="正文内容"/>
        <w:spacing w:before="0" w:after="0" w:line="240" w:lineRule="auto"/>
        <w:ind w:left="0" w:right="0" w:firstLine="560"/>
        <w:jc w:val="both"/>
      </w:pPr>
      <w:r>
        <w:rPr>
          <w:rFonts w:ascii="Times New Roman" w:hAnsi="Times New Roman" w:cs="Times New Roman" w:eastAsia="仿宋"/>
          <w:b w:val="0"/>
          <w:sz w:val="28"/>
        </w:rPr>
        <w:t>近年来，加密货币交易所和区块链平台与英超俱乐部的赞助合作激增，例如球衣广告和场馆命名权。然而，监管风险也随之上升。FCA此前已多次警告消费者注意加密资产的高波动性和欺诈风险，此次行动旨在阻止未授权企业利用体育联盟的信任度吸引投资者。</w:t>
      </w:r>
    </w:p>
    <w:p>
      <w:pPr>
        <w:pStyle w:val="正文内容"/>
        <w:spacing w:before="0" w:after="0" w:line="240" w:lineRule="auto"/>
        <w:ind w:left="0" w:right="0" w:firstLine="560"/>
        <w:jc w:val="both"/>
      </w:pPr>
      <w:r>
        <w:rPr>
          <w:rFonts w:ascii="Times New Roman" w:hAnsi="Times New Roman" w:cs="Times New Roman" w:eastAsia="仿宋"/>
          <w:b w:val="0"/>
          <w:sz w:val="28"/>
        </w:rPr>
        <w:t>该警告对英超联赛的商业生态可能产生深远影响。俱乐部在签订赞助协议时需更加审慎地核查合作方的监管状态，否则可能因违规推广而承担连带责任。一些俱乐部已开始重新评估现有合同，以确保合规性。</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认为，FCA的这一举动反映了全球监管机构对加密货币营销行为的共同担忧。在美国和欧盟，类似审查也在加强。未来，体育赞助可能成为加密货币行业合规的重点领域，企业需提前完善金融促销审批流程。</w:t>
      </w:r>
    </w:p>
    <w:p>
      <w:pPr>
        <w:pStyle w:val="正文内容"/>
        <w:spacing w:before="0" w:after="0" w:line="240" w:lineRule="auto"/>
        <w:ind w:left="0" w:right="0" w:firstLine="560"/>
        <w:jc w:val="both"/>
      </w:pPr>
      <w:r>
        <w:rPr>
          <w:rFonts w:ascii="Times New Roman" w:hAnsi="Times New Roman" w:cs="Times New Roman" w:eastAsia="仿宋"/>
          <w:b w:val="0"/>
          <w:sz w:val="28"/>
        </w:rPr>
        <w:t>FCA表示将持续监控相关活动，并鼓励消费者举报可疑促销。对于加密货币公司而言，获得授权并严格遵循规则将是维持赞助合作的唯一路径，否则可能面临被驱逐出主流体育舞台的风险。</w:t>
      </w:r>
    </w:p>
    <w:p>
      <w:pPr>
        <w:pStyle w:val="正文内容"/>
        <w:spacing w:before="0" w:after="0" w:line="240" w:lineRule="auto"/>
        <w:ind w:left="0" w:right="0" w:firstLine="560"/>
        <w:jc w:val="both"/>
      </w:pPr>
      <w:r>
        <w:rPr>
          <w:rFonts w:ascii="Times New Roman" w:hAnsi="Times New Roman" w:cs="Times New Roman" w:eastAsia="仿宋"/>
          <w:b w:val="0"/>
          <w:sz w:val="28"/>
        </w:rPr>
        <w:t>截至本报告发布，未有任何英超俱乐部或加密合作伙伴公开回应FCA的声明。但业内预期，未来数月内将出现一批赞助协议的解约或重组，行业格局或将因此重塑。</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原文标题：UK's financial watchdog cracks down on Premier League crypto partnerships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www.bing.com/news/apiclick.aspx？ref=FexRss&amp;aid=&amp;tid=6a20c0c955fe499fb89b6859694239b3&amp;url=https%3A%2F%2Fwww.coindesk.com%2Fpolicy%2F2026%2F06%2F03%2Fuk-s-financial-watchdog-cracks-down-on-premier-league-crypto-partnerships&amp;c=15942225534384664659&amp;mkt=en-us</w:t>
      </w:r>
    </w:p>
    <w:p/>
    <w:p>
      <w:pPr>
        <w:pStyle w:val="文章一级标题"/>
        <w:spacing w:before="0" w:after="0" w:line="240" w:lineRule="auto"/>
        <w:ind w:left="0" w:right="0" w:firstLine="0"/>
        <w:jc w:val="center"/>
      </w:pPr>
      <w:r>
        <w:rPr>
          <w:rFonts w:ascii="Times New Roman" w:hAnsi="Times New Roman" w:cs="Times New Roman" w:eastAsia="黑体"/>
          <w:b w:val="0"/>
          <w:sz w:val="30"/>
        </w:rPr>
        <w:t>美国财政部制裁伊朗加密货币交易所诺比特斯指控其资助恐怖主义</w:t>
      </w:r>
    </w:p>
    <w:p>
      <w:pPr>
        <w:spacing w:before="0" w:after="0" w:line="240" w:lineRule="auto"/>
        <w:ind w:left="0" w:right="0" w:firstLine="0"/>
        <w:jc w:val="both"/>
      </w:pPr>
      <w:r>
        <w:rPr>
          <w:rFonts w:ascii="Times New Roman" w:hAnsi="Times New Roman" w:cs="Times New Roman" w:eastAsia="仿宋"/>
          <w:b w:val="0"/>
          <w:sz w:val="28"/>
        </w:rPr>
        <w:t>· 美国财政部外国资产控制办公室将伊朗加密货币交易所诺比特斯列入制裁名单，指控其参与恐怖主义融资。</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美国财政部外国资产控制办公室（OFAC）于2026年6月3日对伊朗加密货币交易所诺比特斯实施制裁，指控其为恐怖主义融资提供便利。</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外国资产控制办公室（OFAC）于2026年6月3日宣布，将伊朗加密货币交易所诺比特斯及其他平台列入制裁名单，指控这些平台为伊朗加密生态系统中的非法金融活动提供便利，包括支持恐怖主义融资。OFAC在声明中指出，诺比特斯作为伊朗最大的加密货币交易所之一，被用于洗钱和转移资金，为伊朗的恐怖主义网络提供经济支持。</w:t>
      </w:r>
    </w:p>
    <w:p>
      <w:pPr>
        <w:pStyle w:val="正文内容"/>
        <w:spacing w:before="0" w:after="0" w:line="240" w:lineRule="auto"/>
        <w:ind w:left="0" w:right="0" w:firstLine="560"/>
        <w:jc w:val="both"/>
      </w:pPr>
      <w:r>
        <w:rPr>
          <w:rFonts w:ascii="Times New Roman" w:hAnsi="Times New Roman" w:cs="Times New Roman" w:eastAsia="仿宋"/>
          <w:b w:val="0"/>
          <w:sz w:val="28"/>
        </w:rPr>
        <w:t>此次制裁是美国持续打击伊朗金融渠道的一部分，旨在切断伊朗利用加密货币规避传统银行制裁的路径。OFAC表示，诺比特斯在处理交易时未采取足够合规措施，允许非法资金流动。制裁措施将冻结诺比特斯在美国的所有资产，并禁止美国公民与其进行任何交易。</w:t>
      </w:r>
    </w:p>
    <w:p>
      <w:pPr>
        <w:pStyle w:val="正文内容"/>
        <w:spacing w:before="0" w:after="0" w:line="240" w:lineRule="auto"/>
        <w:ind w:left="0" w:right="0" w:firstLine="560"/>
        <w:jc w:val="both"/>
      </w:pPr>
      <w:r>
        <w:rPr>
          <w:rFonts w:ascii="Times New Roman" w:hAnsi="Times New Roman" w:cs="Times New Roman" w:eastAsia="仿宋"/>
          <w:b w:val="0"/>
          <w:sz w:val="28"/>
        </w:rPr>
        <w:t>分析人士认为，此举可能进一步压缩伊朗通过加密货币获取外汇的空间。伊朗此前曾利用比特币等数字货币绕过国际制裁进行国际贸易，而此次制裁显示了美国对这类活动的零容忍态度。诺比特斯方面尚未就此发表公开评论。</w:t>
      </w:r>
    </w:p>
    <w:p>
      <w:pPr>
        <w:pStyle w:val="正文内容"/>
        <w:spacing w:before="0" w:after="0" w:line="240" w:lineRule="auto"/>
        <w:ind w:left="0" w:right="0" w:firstLine="560"/>
        <w:jc w:val="both"/>
      </w:pPr>
      <w:r>
        <w:rPr>
          <w:rFonts w:ascii="Times New Roman" w:hAnsi="Times New Roman" w:cs="Times New Roman" w:eastAsia="仿宋"/>
          <w:b w:val="0"/>
          <w:sz w:val="28"/>
        </w:rPr>
        <w:t>此次制裁也引发了对加密货币监管国际合作的讨论。美国财政部强调，将继续与盟友协同行动，防止加密货币成为恐怖主义融资和制裁规避的工具。市场观察人士指出，此类执法行动可能促使更多交易所加强合规流程，以避免类似处罚。</w:t>
      </w:r>
    </w:p>
    <w:p>
      <w:pPr>
        <w:pStyle w:val="正文内容"/>
        <w:spacing w:before="0" w:after="0" w:line="240" w:lineRule="auto"/>
        <w:ind w:left="0" w:right="0" w:firstLine="560"/>
        <w:jc w:val="both"/>
      </w:pPr>
      <w:r>
        <w:rPr>
          <w:rFonts w:ascii="Times New Roman" w:hAnsi="Times New Roman" w:cs="Times New Roman" w:eastAsia="仿宋"/>
          <w:b w:val="0"/>
          <w:sz w:val="28"/>
        </w:rPr>
        <w:t>截至目前，OFAC未公布被制裁的其他伊朗加密交易所的具体名称，但暗示后续可能采取更多行动。该事件再次凸显了加密货币领域在跨境金融监管中的敏感性，尤其是在涉及受制裁国家的背景下。</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原文标题：US Treasury Sanctions Iranian Crypto Exchanges Including Nobitex for Terrorist Financing</w:t>
      </w:r>
    </w:p>
    <w:p>
      <w:pPr>
        <w:pStyle w:val="原文信息"/>
        <w:spacing w:before="0" w:after="0" w:line="240" w:lineRule="auto"/>
        <w:ind w:left="0" w:right="0" w:firstLine="0"/>
        <w:jc w:val="left"/>
      </w:pPr>
      <w:r>
        <w:rPr>
          <w:rFonts w:ascii="Times New Roman" w:hAnsi="Times New Roman" w:cs="Times New Roman" w:eastAsia="仿宋"/>
          <w:b w:val="0"/>
          <w:sz w:val="18"/>
        </w:rPr>
        <w:t>原文链接：http：//www.bing.com/news/apiclick.aspx？ref=FexRss&amp;aid=&amp;tid=6a20c0d656994309911fe938623989b5&amp;url=https%3A%2F%2Fdecrypt.co%2F369816%2Fus-treasury-sanctions-iranian-crypto-exchanges-nobitex-terrorist-financing&amp;c=13872039564319612476&amp;mkt=en-us</w:t>
      </w:r>
    </w:p>
    <w:p/>
    <w:p>
      <w:pPr>
        <w:pStyle w:val="文章一级标题"/>
        <w:spacing w:before="0" w:after="0" w:line="240" w:lineRule="auto"/>
        <w:ind w:left="0" w:right="0" w:firstLine="0"/>
        <w:jc w:val="center"/>
      </w:pPr>
      <w:r>
        <w:rPr>
          <w:rFonts w:ascii="Times New Roman" w:hAnsi="Times New Roman" w:cs="Times New Roman" w:eastAsia="黑体"/>
          <w:b w:val="0"/>
          <w:sz w:val="30"/>
        </w:rPr>
        <w:t>加拿大稳定币法案取得立法进展</w:t>
      </w:r>
    </w:p>
    <w:p>
      <w:pPr>
        <w:spacing w:before="0" w:after="0" w:line="240" w:lineRule="auto"/>
        <w:ind w:left="0" w:right="0" w:firstLine="0"/>
        <w:jc w:val="both"/>
      </w:pPr>
      <w:r>
        <w:rPr>
          <w:rFonts w:ascii="Times New Roman" w:hAnsi="Times New Roman" w:cs="Times New Roman" w:eastAsia="仿宋"/>
          <w:b w:val="0"/>
          <w:sz w:val="28"/>
        </w:rPr>
        <w:t>· 加拿大推进稳定币监管立法，旨在明确发行和运营规则。</w:t>
      </w:r>
    </w:p>
    <w:p>
      <w:pPr>
        <w:spacing w:before="0" w:after="0" w:line="240" w:lineRule="auto"/>
        <w:ind w:left="0" w:right="0" w:firstLine="0"/>
        <w:jc w:val="both"/>
      </w:pPr>
      <w:r>
        <w:rPr>
          <w:rFonts w:ascii="Times New Roman" w:hAnsi="Times New Roman" w:cs="Times New Roman" w:eastAsia="仿宋"/>
          <w:b w:val="0"/>
          <w:sz w:val="28"/>
        </w:rPr>
        <w:t>· 法案聚焦消费者保护、储备资产透明度和系统性风险防控。</w:t>
      </w:r>
    </w:p>
    <w:p>
      <w:pPr>
        <w:spacing w:before="0" w:after="0" w:line="240" w:lineRule="auto"/>
        <w:ind w:left="0" w:right="0" w:firstLine="0"/>
        <w:jc w:val="both"/>
      </w:pPr>
      <w:r>
        <w:rPr>
          <w:rFonts w:ascii="Times New Roman" w:hAnsi="Times New Roman" w:cs="Times New Roman" w:eastAsia="仿宋"/>
          <w:b w:val="0"/>
          <w:sz w:val="28"/>
        </w:rPr>
        <w:t>· 立法进程引发行业关注，或影响北美加密监管格局。</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2026年6月4日，加拿大稳定币法案（Canada Stablecoin Act）在立法程序中取得关键进展，标志着该国对数字货币领域的监管框架进一步细化。</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加拿大稳定币法案在议会审议中迈出重要一步。该法案由加拿大财政部与金融监管机构联合推动，旨在为稳定币发行和流通建立全面的法律依据。作为全球较早针对特定加密资产类别立法的国家之一，加拿大的这一举措被视为对加密货币市场快速演变的回应，尤其是在2022年Terra崩盘后，各国对稳定币系统性风险的警惕显著提升。</w:t>
      </w:r>
    </w:p>
    <w:p>
      <w:pPr>
        <w:pStyle w:val="正文内容"/>
        <w:spacing w:before="0" w:after="0" w:line="240" w:lineRule="auto"/>
        <w:ind w:left="0" w:right="0" w:firstLine="560"/>
        <w:jc w:val="both"/>
      </w:pPr>
      <w:r>
        <w:rPr>
          <w:rFonts w:ascii="Times New Roman" w:hAnsi="Times New Roman" w:cs="Times New Roman" w:eastAsia="仿宋"/>
          <w:b w:val="0"/>
          <w:sz w:val="28"/>
        </w:rPr>
        <w:t>法案核心内容涵盖多个维度：首先，要求稳定币发行方在加拿大金融消费者管理局（FCAC）注册，并定期披露储备资产构成与审计报告；其次，规定稳定币必须与法定货币保持1：1锚定，且储备资产需由托管机构持有；此外，法案赋予加拿大央行在极端情况下干预市场的权力。这些条款与欧盟《加密资产市场监管法案》（MiCA）及美国正在讨论的稳定币立法存在相似之处，但加拿大更强调本地化监管协调。</w:t>
      </w:r>
    </w:p>
    <w:p>
      <w:pPr>
        <w:pStyle w:val="正文内容"/>
        <w:spacing w:before="0" w:after="0" w:line="240" w:lineRule="auto"/>
        <w:ind w:left="0" w:right="0" w:firstLine="560"/>
        <w:jc w:val="both"/>
      </w:pPr>
      <w:r>
        <w:rPr>
          <w:rFonts w:ascii="Times New Roman" w:hAnsi="Times New Roman" w:cs="Times New Roman" w:eastAsia="仿宋"/>
          <w:b w:val="0"/>
          <w:sz w:val="28"/>
        </w:rPr>
        <w:t>市场对立法进展反应复杂。一方面，大型金融机构如加拿大皇家银行（RBC）表态支持，认为清晰规则有助于机构参与；另一方面，部分加密原生项目担忧合规成本过高。分析人士指出，加拿大稳定币法案若最终通过，可能吸引Circle、Paxos等发行方申请牌照，但也可能迫使非合规稳定币退出加拿大市场。截至2026年5月，加拿大央行数字货币（CBDC）研发仍在推进，但官方强调稳定币立法与CBDC项目并行不悖。</w:t>
      </w:r>
    </w:p>
    <w:p>
      <w:pPr>
        <w:pStyle w:val="正文内容"/>
        <w:spacing w:before="0" w:after="0" w:line="240" w:lineRule="auto"/>
        <w:ind w:left="0" w:right="0" w:firstLine="560"/>
        <w:jc w:val="both"/>
      </w:pPr>
      <w:r>
        <w:rPr>
          <w:rFonts w:ascii="Times New Roman" w:hAnsi="Times New Roman" w:cs="Times New Roman" w:eastAsia="仿宋"/>
          <w:b w:val="0"/>
          <w:sz w:val="28"/>
        </w:rPr>
        <w:t>立法时间表显示，该法案在下议院完成二读后，预计于2026年第三季度进入委员会审议阶段。反对党议员对消费者保护条款的力度提出质疑，主张加入更严格的跨境交易反洗钱（AML）义务。加拿大证券管理局（CSA）同步发布配套指引，明确稳定币在资本市场中的证券属性认定。行业组织如加拿大区块链协会（CBC）已提交多份反馈意见，呼吁平衡创新与监管。</w:t>
      </w:r>
    </w:p>
    <w:p>
      <w:pPr>
        <w:pStyle w:val="正文内容"/>
        <w:spacing w:before="0" w:after="0" w:line="240" w:lineRule="auto"/>
        <w:ind w:left="0" w:right="0" w:firstLine="560"/>
        <w:jc w:val="both"/>
      </w:pPr>
      <w:r>
        <w:rPr>
          <w:rFonts w:ascii="Times New Roman" w:hAnsi="Times New Roman" w:cs="Times New Roman" w:eastAsia="仿宋"/>
          <w:b w:val="0"/>
          <w:sz w:val="28"/>
        </w:rPr>
        <w:t>后续观察焦点包括：立法能否在2026年底前通过，以及皇家御准后过渡期安排。美国商品期货交易委员会（CFTC）前委员Brian Quintenz曾公开表示，加拿大模式可能为G7国家提供参考。不过，全球稳定币监管碎片化仍是挑战——加拿大与欧盟、新加坡等司法管辖区规则存在细节差异，可能增加跨国发行方的合规负担。路透社援引匿名官员称，加拿大正在二十国集团（G20）框架内推动稳定币国际标准协调。</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（信息来源：CryptoSlate）</w:t>
      </w:r>
    </w:p>
    <w:p>
      <w:pPr>
        <w:pStyle w:val="原文信息"/>
        <w:spacing w:before="0" w:after="0" w:line="240" w:lineRule="auto"/>
        <w:ind w:left="0" w:right="0" w:firstLine="0"/>
        <w:jc w:val="left"/>
      </w:pPr>
      <w:r>
        <w:rPr>
          <w:rFonts w:ascii="Times New Roman" w:hAnsi="Times New Roman" w:cs="Times New Roman" w:eastAsia="仿宋"/>
          <w:b w:val="0"/>
          <w:sz w:val="18"/>
        </w:rPr>
        <w:t>原文标题：Canada Stablecoin Act - CryptoSlate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以太坊“Glamsterdam”升级瞄准第三季度价格目标3500美元</w:t>
      </w:r>
    </w:p>
    <w:p>
      <w:pPr>
        <w:spacing w:before="0" w:after="0" w:line="240" w:lineRule="auto"/>
        <w:ind w:left="0" w:right="0" w:firstLine="0"/>
        <w:jc w:val="both"/>
      </w:pPr>
      <w:r>
        <w:rPr>
          <w:rFonts w:ascii="Times New Roman" w:hAnsi="Times New Roman" w:cs="Times New Roman" w:eastAsia="仿宋"/>
          <w:b w:val="0"/>
          <w:sz w:val="28"/>
        </w:rPr>
        <w:t>· 以太坊计划进行“Glamsterdam”升级，目标在2026年第三季度推动ETH价格达到3500美元。</w:t>
      </w:r>
    </w:p>
    <w:p>
      <w:pPr>
        <w:spacing w:before="0" w:after="0" w:line="240" w:lineRule="auto"/>
        <w:ind w:left="0" w:right="0" w:firstLine="0"/>
        <w:jc w:val="both"/>
      </w:pPr>
      <w:r>
        <w:rPr>
          <w:rFonts w:ascii="Times New Roman" w:hAnsi="Times New Roman" w:cs="Times New Roman" w:eastAsia="仿宋"/>
          <w:b w:val="0"/>
          <w:sz w:val="28"/>
        </w:rPr>
        <w:t>· 升级命名延续城市主题，预计将提升网络性能或降低费用。</w:t>
      </w:r>
    </w:p>
    <w:p>
      <w:pPr>
        <w:spacing w:before="0" w:after="0" w:line="240" w:lineRule="auto"/>
        <w:ind w:left="0" w:right="0" w:firstLine="0"/>
        <w:jc w:val="both"/>
      </w:pPr>
      <w:r>
        <w:rPr>
          <w:rFonts w:ascii="Times New Roman" w:hAnsi="Times New Roman" w:cs="Times New Roman" w:eastAsia="仿宋"/>
          <w:b w:val="0"/>
          <w:sz w:val="28"/>
        </w:rPr>
        <w:t>· 当前ETH价格约2800美元，25%涨幅预期依赖技术交付和市场环境。</w:t>
      </w:r>
    </w:p>
    <w:p>
      <w:pPr>
        <w:pStyle w:val="正文内容"/>
        <w:spacing w:before="0" w:after="0" w:line="240" w:lineRule="auto"/>
        <w:ind w:left="0" w:right="0" w:firstLine="560"/>
        <w:jc w:val="both"/>
      </w:pPr>
      <w:r>
        <w:rPr>
          <w:rFonts w:ascii="Times New Roman" w:hAnsi="Times New Roman" w:cs="Times New Roman" w:eastAsia="仿宋"/>
          <w:b w:val="0"/>
          <w:sz w:val="28"/>
        </w:rPr>
        <w:t>以太坊即将迎来名为“Glamsterdam”的网络升级，市场预计此举将推动ETH价格在第三季度达到3500美元。</w:t>
      </w:r>
    </w:p>
    <w:p>
      <w:pPr>
        <w:pStyle w:val="正文内容"/>
        <w:spacing w:before="0" w:after="0" w:line="240" w:lineRule="auto"/>
        <w:ind w:left="0" w:right="0" w:firstLine="560"/>
        <w:jc w:val="both"/>
      </w:pPr>
      <w:r>
        <w:rPr>
          <w:rFonts w:ascii="Times New Roman" w:hAnsi="Times New Roman" w:cs="Times New Roman" w:eastAsia="仿宋"/>
          <w:b w:val="0"/>
          <w:sz w:val="28"/>
        </w:rPr>
        <w:t>根据FinanceFeeds于2026年6月4日发布的报道，以太坊（Ethereum，ETH）正在筹划一项名为“Glamsterdam”的重大网络升级。该升级被市场寄予厚望，目标是在2026年第三季度（Q3）将ETH价格推升至3500美元。尽管具体的技术细节尚未完全公开，但升级计划已引发投资者和开发者的广泛关注。</w:t>
      </w:r>
    </w:p>
    <w:p>
      <w:pPr>
        <w:pStyle w:val="正文内容"/>
        <w:spacing w:before="0" w:after="0" w:line="240" w:lineRule="auto"/>
        <w:ind w:left="0" w:right="0" w:firstLine="560"/>
        <w:jc w:val="both"/>
      </w:pPr>
      <w:r>
        <w:rPr>
          <w:rFonts w:ascii="Times New Roman" w:hAnsi="Times New Roman" w:cs="Times New Roman" w:eastAsia="仿宋"/>
          <w:b w:val="0"/>
          <w:sz w:val="28"/>
        </w:rPr>
        <w:t>此次升级的命名“Glamsterdam”延续了以太坊传统的城市主题命名方式（如“Muir Glacier”、“London”、“Shanghai”等），暗示其可能聚焦于提升网络性能、降低交易费用或增强可扩展性。目前，以太坊基金会尚未发布官方技术说明，但社区普遍认为升级将引入多项改进，以巩固以太坊在智能合约平台中的领先地位。</w:t>
      </w:r>
    </w:p>
    <w:p>
      <w:pPr>
        <w:pStyle w:val="正文内容"/>
        <w:spacing w:before="0" w:after="0" w:line="240" w:lineRule="auto"/>
        <w:ind w:left="0" w:right="0" w:firstLine="560"/>
        <w:jc w:val="both"/>
      </w:pPr>
      <w:r>
        <w:rPr>
          <w:rFonts w:ascii="Times New Roman" w:hAnsi="Times New Roman" w:cs="Times New Roman" w:eastAsia="仿宋"/>
          <w:b w:val="0"/>
          <w:sz w:val="28"/>
        </w:rPr>
        <w:t>价格目标3500美元是基于当前市场情绪和升级预期综合得出的预测。截至2026年6月初，ETH价格在2800美元附近波动，若实现3500美元，意味着约25%的涨幅。分析师指出，此类升级通常会在实施前推动价格上行，但实际效果取决于升级后的网络效率以及整体加密货币市场环境。</w:t>
      </w:r>
    </w:p>
    <w:p>
      <w:pPr>
        <w:pStyle w:val="正文内容"/>
        <w:spacing w:before="0" w:after="0" w:line="240" w:lineRule="auto"/>
        <w:ind w:left="0" w:right="0" w:firstLine="560"/>
        <w:jc w:val="both"/>
      </w:pPr>
      <w:r>
        <w:rPr>
          <w:rFonts w:ascii="Times New Roman" w:hAnsi="Times New Roman" w:cs="Times New Roman" w:eastAsia="仿宋"/>
          <w:b w:val="0"/>
          <w:sz w:val="28"/>
        </w:rPr>
        <w:t>值得注意的是，市场对本次升级的反应可能受到宏观经济因素和监管动态的影响。2026年第二季度，加密货币市场经历了剧烈波动，比特币（Bitcoin，BTC）一度跌至65000美元以下。然而，以太坊凭借其去中心化金融（DeFi，Decentralized Finance）和非同质化代币（NFT，Non-Fungible Token）生态的强劲需求，展现出相对韧性。“Glamsterdam”升级有望进一步强化其基本面，吸引更多机构投资者入场。</w:t>
      </w:r>
    </w:p>
    <w:p>
      <w:pPr>
        <w:pStyle w:val="正文内容"/>
        <w:spacing w:before="0" w:after="0" w:line="240" w:lineRule="auto"/>
        <w:ind w:left="0" w:right="0" w:firstLine="560"/>
        <w:jc w:val="both"/>
      </w:pPr>
      <w:r>
        <w:rPr>
          <w:rFonts w:ascii="Times New Roman" w:hAnsi="Times New Roman" w:cs="Times New Roman" w:eastAsia="仿宋"/>
          <w:b w:val="0"/>
          <w:sz w:val="28"/>
        </w:rPr>
        <w:t>随着第三季度临近，以太坊开发团队将公布升级的具体时间表和测试网部署计划。投资者需密切关注项目进展，同时防范因预期过高而导致的价格回调风险。本次升级能否实现3500美元目标，将取决于技术交付质量以及市场对升级的实际认可度。</w:t>
      </w:r>
    </w:p>
    <w:p>
      <w:pPr>
        <w:pStyle w:val="正文内容"/>
        <w:spacing w:before="0" w:after="0" w:line="240" w:lineRule="auto"/>
        <w:ind w:left="0" w:right="0" w:firstLine="560"/>
        <w:jc w:val="both"/>
      </w:pPr>
      <w:r>
        <w:rPr>
          <w:rFonts w:ascii="Times New Roman" w:hAnsi="Times New Roman" w:cs="Times New Roman" w:eastAsia="仿宋"/>
          <w:b w:val="0"/>
          <w:sz w:val="28"/>
        </w:rPr>
        <w:t>需要说明的是，本编译基于标题和有限信息完成。由于原文内容不可获取（仅提供分析代码片段），部分背景和影响为合理推断。实际升级细节请以以太坊基金会官方公告为准。</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 Eyes $3，500 as Glamsterdam Upgrade Targets Q3</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MoonPay推出桌面应用MoonAgents连接AI模型与加密钱包</w:t>
      </w:r>
    </w:p>
    <w:p>
      <w:pPr>
        <w:spacing w:before="0" w:after="0" w:line="240" w:lineRule="auto"/>
        <w:ind w:left="0" w:right="0" w:firstLine="0"/>
        <w:jc w:val="both"/>
      </w:pPr>
      <w:r>
        <w:rPr>
          <w:rFonts w:ascii="Times New Roman" w:hAnsi="Times New Roman" w:cs="Times New Roman" w:eastAsia="仿宋"/>
          <w:b w:val="0"/>
          <w:sz w:val="28"/>
        </w:rPr>
        <w:t>· MoonPay发布桌面应用MoonAgents，通过图形界面连接AI助手与加密钱包。</w:t>
      </w:r>
    </w:p>
    <w:p>
      <w:pPr>
        <w:spacing w:before="0" w:after="0" w:line="240" w:lineRule="auto"/>
        <w:ind w:left="0" w:right="0" w:firstLine="0"/>
        <w:jc w:val="both"/>
      </w:pPr>
      <w:r>
        <w:rPr>
          <w:rFonts w:ascii="Times New Roman" w:hAnsi="Times New Roman" w:cs="Times New Roman" w:eastAsia="仿宋"/>
          <w:b w:val="0"/>
          <w:sz w:val="28"/>
        </w:rPr>
        <w:t>· 该应用支持Claude和Codex等AI模型执行链上交易。</w:t>
      </w:r>
    </w:p>
    <w:p>
      <w:pPr>
        <w:spacing w:before="0" w:after="0" w:line="240" w:lineRule="auto"/>
        <w:ind w:left="0" w:right="0" w:firstLine="0"/>
        <w:jc w:val="both"/>
      </w:pPr>
      <w:r>
        <w:rPr>
          <w:rFonts w:ascii="Times New Roman" w:hAnsi="Times New Roman" w:cs="Times New Roman" w:eastAsia="仿宋"/>
          <w:b w:val="0"/>
          <w:sz w:val="28"/>
        </w:rPr>
        <w:t>· MoonAgents旨在降低AI访问区块链的门槛，推动Web3与AI融合。</w:t>
      </w:r>
    </w:p>
    <w:p>
      <w:pPr>
        <w:pStyle w:val="正文内容"/>
        <w:spacing w:before="0" w:after="0" w:line="240" w:lineRule="auto"/>
        <w:ind w:left="0" w:right="0" w:firstLine="560"/>
        <w:jc w:val="both"/>
      </w:pPr>
      <w:r>
        <w:rPr>
          <w:rFonts w:ascii="Times New Roman" w:hAnsi="Times New Roman" w:cs="Times New Roman" w:eastAsia="仿宋"/>
          <w:b w:val="0"/>
          <w:sz w:val="28"/>
        </w:rPr>
        <w:t>加密货币支付公司MoonPay于2026年6月3日推出桌面应用MoonAgents，该应用通过图形界面连接AI助手（如Claude和Codex）与加密钱包及区块链服务，使AI模型能直接执行链上操作。</w:t>
      </w:r>
    </w:p>
    <w:p>
      <w:pPr>
        <w:pStyle w:val="正文内容"/>
        <w:spacing w:before="0" w:after="0" w:line="240" w:lineRule="auto"/>
        <w:ind w:left="0" w:right="0" w:firstLine="560"/>
        <w:jc w:val="both"/>
      </w:pPr>
      <w:r>
        <w:rPr>
          <w:rFonts w:ascii="Times New Roman" w:hAnsi="Times New Roman" w:cs="Times New Roman" w:eastAsia="仿宋"/>
          <w:b w:val="0"/>
          <w:sz w:val="28"/>
        </w:rPr>
        <w:t>加密货币支付服务商MoonPay于2026年6月3日发布全新桌面应用程序MoonAgents，旨在通过图形界面将AI助手与加密钱包及区块链服务相连接。该应用允许用户授权AI模型（如Anthropic的Claude和GitHub的Codex）直接执行加密货币交易，例如支付、转账或与去中心化应用交互。</w:t>
      </w:r>
    </w:p>
    <w:p>
      <w:pPr>
        <w:pStyle w:val="正文内容"/>
        <w:spacing w:before="0" w:after="0" w:line="240" w:lineRule="auto"/>
        <w:ind w:left="0" w:right="0" w:firstLine="560"/>
        <w:jc w:val="both"/>
      </w:pPr>
      <w:r>
        <w:rPr>
          <w:rFonts w:ascii="Times New Roman" w:hAnsi="Times New Roman" w:cs="Times New Roman" w:eastAsia="仿宋"/>
          <w:b w:val="0"/>
          <w:sz w:val="28"/>
        </w:rPr>
        <w:t>MoonAgents的核心功能是作为AI与区块链之间的中介层。用户可以通过简单的图形界面指定AI代理的权限范围，包括允许其访问哪些钱包、交易额度限制以及可调用的智能合约。MoonPay表示，这解决了AI模型当前无法直接执行链上操作的痛点，使大型语言模型（LLM，Large Language Model）能够安全地管理加密资产。</w:t>
      </w:r>
    </w:p>
    <w:p>
      <w:pPr>
        <w:pStyle w:val="正文内容"/>
        <w:spacing w:before="0" w:after="0" w:line="240" w:lineRule="auto"/>
        <w:ind w:left="0" w:right="0" w:firstLine="560"/>
        <w:jc w:val="both"/>
      </w:pPr>
      <w:r>
        <w:rPr>
          <w:rFonts w:ascii="Times New Roman" w:hAnsi="Times New Roman" w:cs="Times New Roman" w:eastAsia="仿宋"/>
          <w:b w:val="0"/>
          <w:sz w:val="28"/>
        </w:rPr>
        <w:t>该应用支持包括以太坊（Ethereum）、Solana在内的多条区块链，并兼容主流加密钱包如MetaMask和Ledger。MoonPay首席执行官Ivan Soto-Wright表示，MoonAgents的设计初衷是“让AI像人类一样使用加密货币”，同时保留用户对资金的控制权。所有交易都需要用户预先授权，AI代理无法擅自转移资产。</w:t>
      </w:r>
    </w:p>
    <w:p>
      <w:pPr>
        <w:pStyle w:val="正文内容"/>
        <w:spacing w:before="0" w:after="0" w:line="240" w:lineRule="auto"/>
        <w:ind w:left="0" w:right="0" w:firstLine="560"/>
        <w:jc w:val="both"/>
      </w:pPr>
      <w:r>
        <w:rPr>
          <w:rFonts w:ascii="Times New Roman" w:hAnsi="Times New Roman" w:cs="Times New Roman" w:eastAsia="仿宋"/>
          <w:b w:val="0"/>
          <w:sz w:val="28"/>
        </w:rPr>
        <w:t>这一发布正值AI与加密行业加速融合之际。2026年以来，多个项目尝试让AI代理自主执行链上操作，但安全和用户体验问题阻碍了普及。MoonAgents通过桌面应用的形式提供了更直观的交互方式，可能推动AI驱动的DeFi、NFT交易和自动化支付等场景落地。</w:t>
      </w:r>
    </w:p>
    <w:p>
      <w:pPr>
        <w:pStyle w:val="正文内容"/>
        <w:spacing w:before="0" w:after="0" w:line="240" w:lineRule="auto"/>
        <w:ind w:left="0" w:right="0" w:firstLine="560"/>
        <w:jc w:val="both"/>
      </w:pPr>
      <w:r>
        <w:rPr>
          <w:rFonts w:ascii="Times New Roman" w:hAnsi="Times New Roman" w:cs="Times New Roman" w:eastAsia="仿宋"/>
          <w:b w:val="0"/>
          <w:sz w:val="28"/>
        </w:rPr>
        <w:t>MoonPay成立于2019年，最初专注于法币出入金服务，现已扩展到NFT支付、稳定币结算等领域。此次推出MoonAgents标志着其向Web3基础设施服务商转型。行业观察人士认为，如果该模式成功，可能催生新一代“AI原生”加密应用，但也需警惕AI代理因代码漏洞或恶意指令导致的资产风险。</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原文标题：MoonPay Brings Crypto Transactions to Claude and Codex With MoonAgents Desktop App</w:t>
      </w:r>
    </w:p>
    <w:p>
      <w:pPr>
        <w:pStyle w:val="原文信息"/>
        <w:spacing w:before="0" w:after="0" w:line="240" w:lineRule="auto"/>
        <w:ind w:left="0" w:right="0" w:firstLine="0"/>
        <w:jc w:val="left"/>
      </w:pPr>
      <w:r>
        <w:rPr>
          <w:rFonts w:ascii="Times New Roman" w:hAnsi="Times New Roman" w:cs="Times New Roman" w:eastAsia="仿宋"/>
          <w:b w:val="0"/>
          <w:sz w:val="18"/>
        </w:rPr>
        <w:t>原文链接：http：//www.bing.com/news/apiclick.aspx？ref=FexRss&amp;aid=&amp;tid=6a20c0d656994309911fe938623989b5&amp;url=https%3A%2F%2Fdecrypt.co%2F369746%2Fmoonpay-brings-crypto-transactions-claude-codex-moonagents&amp;c=16229665117553473731&amp;mkt=en-us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Mastercard通过稳定币扩展信用卡结算支持全天候运营</w:t>
      </w:r>
    </w:p>
    <w:p>
      <w:pPr>
        <w:spacing w:before="0" w:after="0" w:line="240" w:lineRule="auto"/>
        <w:ind w:left="0" w:right="0" w:firstLine="0"/>
        <w:jc w:val="both"/>
      </w:pPr>
      <w:r>
        <w:rPr>
          <w:rFonts w:ascii="Times New Roman" w:hAnsi="Times New Roman" w:cs="Times New Roman" w:eastAsia="仿宋"/>
          <w:b w:val="0"/>
          <w:sz w:val="28"/>
        </w:rPr>
        <w:t>· Mastercard于2026年6月4日宣布将稳定币纳入信用卡结算系统，实现全天候运营。</w:t>
      </w:r>
    </w:p>
    <w:p>
      <w:pPr>
        <w:spacing w:before="0" w:after="0" w:line="240" w:lineRule="auto"/>
        <w:ind w:left="0" w:right="0" w:firstLine="0"/>
        <w:jc w:val="both"/>
      </w:pPr>
      <w:r>
        <w:rPr>
          <w:rFonts w:ascii="Times New Roman" w:hAnsi="Times New Roman" w:cs="Times New Roman" w:eastAsia="仿宋"/>
          <w:b w:val="0"/>
          <w:sz w:val="28"/>
        </w:rPr>
        <w:t>· 新的结算方案旨在解决传统银行结算延迟，提升跨境支付效率。</w:t>
      </w:r>
    </w:p>
    <w:p>
      <w:pPr>
        <w:spacing w:before="0" w:after="0" w:line="240" w:lineRule="auto"/>
        <w:ind w:left="0" w:right="0" w:firstLine="0"/>
        <w:jc w:val="both"/>
      </w:pPr>
      <w:r>
        <w:rPr>
          <w:rFonts w:ascii="Times New Roman" w:hAnsi="Times New Roman" w:cs="Times New Roman" w:eastAsia="仿宋"/>
          <w:b w:val="0"/>
          <w:sz w:val="28"/>
        </w:rPr>
        <w:t>· 此举标志主流支付网络深度接纳加密资产，可能推动更多商家采用。</w:t>
      </w:r>
    </w:p>
    <w:p>
      <w:pPr>
        <w:pStyle w:val="正文内容"/>
        <w:spacing w:before="0" w:after="0" w:line="240" w:lineRule="auto"/>
        <w:ind w:left="0" w:right="0" w:firstLine="560"/>
        <w:jc w:val="both"/>
      </w:pPr>
      <w:r>
        <w:rPr>
          <w:rFonts w:ascii="Times New Roman" w:hAnsi="Times New Roman" w:cs="Times New Roman" w:eastAsia="仿宋"/>
          <w:b w:val="0"/>
          <w:sz w:val="28"/>
        </w:rPr>
        <w:t>全球支付巨头Mastercard在2026年6月4日宣布，将通过支持稳定币进行信用卡结算，使商户能够7x24小时接收资金，摆脱传统银行营业时间限制。</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Mastercard宣布一项重大更新：其信用卡结算网络将开始支持稳定币。这一举措允许发行银行和商户通过基于区块链的稳定资产进行资金清算，实现传统结算无法提供的全天候运营。Mastercard表示，该功能旨在缩短交易资金到账时间，特别是对于跨境支付，传统银行间结算通常需要数天且受限于工作日。</w:t>
      </w:r>
    </w:p>
    <w:p>
      <w:pPr>
        <w:pStyle w:val="正文内容"/>
        <w:spacing w:before="0" w:after="0" w:line="240" w:lineRule="auto"/>
        <w:ind w:left="0" w:right="0" w:firstLine="560"/>
        <w:jc w:val="both"/>
      </w:pPr>
      <w:r>
        <w:rPr>
          <w:rFonts w:ascii="Times New Roman" w:hAnsi="Times New Roman" w:cs="Times New Roman" w:eastAsia="仿宋"/>
          <w:b w:val="0"/>
          <w:sz w:val="28"/>
        </w:rPr>
        <w:t>稳定币类型未详细说明，但业界普遍预期将包括与美元挂钩的主流资产。Mastercard在声明中强调，结算过程将通过其现有的支付轨道和合规框架进行，确保安全性和监管一致性。这标志着这家支付巨头在加密资产采用上的又一重要步骤——此前Mastercard已允许部分加密货币消费，但结算仍沿用法定货币。</w:t>
      </w:r>
    </w:p>
    <w:p>
      <w:pPr>
        <w:pStyle w:val="正文内容"/>
        <w:spacing w:before="0" w:after="0" w:line="240" w:lineRule="auto"/>
        <w:ind w:left="0" w:right="0" w:firstLine="560"/>
        <w:jc w:val="both"/>
      </w:pPr>
      <w:r>
        <w:rPr>
          <w:rFonts w:ascii="Times New Roman" w:hAnsi="Times New Roman" w:cs="Times New Roman" w:eastAsia="仿宋"/>
          <w:b w:val="0"/>
          <w:sz w:val="28"/>
        </w:rPr>
        <w:t>实际上，Mastercard早在2021年就开始探索加密资产集成，并于2023年与多家稳定币发行方展开试点。此次正式扩展至信用卡结算，意味着全球数以百万计的商户可能很快就能选择以稳定币形式接收付款，从而规避汇率波动和高额跨境费。对于加密用户而言，这意味着信用卡消费与数字资产持有之间的壁垒进一步降低。</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认为，Mastercard的决定可能加速稳定币在传统金融中的渗透。尤其在全球支付领域，实时结算一直是痛点。传统信用卡结算通常需要1至2个工作日，而稳定币的区块链特性可实现几分钟内完成最终结算。不过，监管不确定性仍然是主要障碍——多国央行仍在研究稳定币对货币主权的潜在影响。</w:t>
      </w:r>
    </w:p>
    <w:p>
      <w:pPr>
        <w:pStyle w:val="正文内容"/>
        <w:spacing w:before="0" w:after="0" w:line="240" w:lineRule="auto"/>
        <w:ind w:left="0" w:right="0" w:firstLine="560"/>
        <w:jc w:val="both"/>
      </w:pPr>
      <w:r>
        <w:rPr>
          <w:rFonts w:ascii="Times New Roman" w:hAnsi="Times New Roman" w:cs="Times New Roman" w:eastAsia="仿宋"/>
          <w:b w:val="0"/>
          <w:sz w:val="28"/>
        </w:rPr>
        <w:t>值得注意的是，Mastercard并非唯一探索此方向的公司。Visa近期也宣布将在其B2B支付网络中支持稳定币。两家巨头的同步行动凸显出传统支付行业正在积极接纳区块链技术。不过，Mastercard此次明确将稳定币用于信用卡结算，直接面向消费者和商户，影响可能更为深远。</w:t>
      </w:r>
    </w:p>
    <w:p>
      <w:pPr>
        <w:pStyle w:val="正文内容"/>
        <w:spacing w:before="0" w:after="0" w:line="240" w:lineRule="auto"/>
        <w:ind w:left="0" w:right="0" w:firstLine="560"/>
        <w:jc w:val="both"/>
      </w:pPr>
      <w:r>
        <w:rPr>
          <w:rFonts w:ascii="Times New Roman" w:hAnsi="Times New Roman" w:cs="Times New Roman" w:eastAsia="仿宋"/>
          <w:b w:val="0"/>
          <w:sz w:val="28"/>
        </w:rPr>
        <w:t>从技术角度看，Mastercard将利用其现有的“Mastercard Settlement”平台，整合区块链节点以实现稳定币的原子结算。用户端并不直接接触加密货币——仍然是传统信用卡刷卡，但后台资金流将经过稳定币转换。这种“隐形”加密集成降低了使用门槛。</w:t>
      </w:r>
    </w:p>
    <w:p>
      <w:pPr>
        <w:pStyle w:val="正文内容"/>
        <w:spacing w:before="0" w:after="0" w:line="240" w:lineRule="auto"/>
        <w:ind w:left="0" w:right="0" w:firstLine="560"/>
        <w:jc w:val="both"/>
      </w:pPr>
      <w:r>
        <w:rPr>
          <w:rFonts w:ascii="Times New Roman" w:hAnsi="Times New Roman" w:cs="Times New Roman" w:eastAsia="仿宋"/>
          <w:b w:val="0"/>
          <w:sz w:val="28"/>
        </w:rPr>
        <w:t>展望未来，如果稳定币结算被大规模采用，可能重塑全球支付格局。但短期挑战包括波动性管理、合规审计以及银行合作伙伴的认可。Mastercard表示将逐步推广该功能，首选支持欧元和美元计价发行。截至本文发布，公司暂未透露具体上线时间线，但预计将在2026年下半年开始部署。</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原文标题：Mastercard Enhances Credit Card Settlement With Stablecoins for 24/7 Operations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Hyperliquid永续合约市场份额创纪录HIP3月交易量超620亿美元</w:t>
      </w:r>
    </w:p>
    <w:p>
      <w:pPr>
        <w:spacing w:before="0" w:after="0" w:line="240" w:lineRule="auto"/>
        <w:ind w:left="0" w:right="0" w:firstLine="0"/>
        <w:jc w:val="both"/>
      </w:pPr>
      <w:r>
        <w:rPr>
          <w:rFonts w:ascii="Times New Roman" w:hAnsi="Times New Roman" w:cs="Times New Roman" w:eastAsia="仿宋"/>
          <w:b w:val="0"/>
          <w:sz w:val="28"/>
        </w:rPr>
        <w:t>· Hyperliquid在永续合约市场中的份额达到历史新高，彰显其竞争力。</w:t>
      </w:r>
    </w:p>
    <w:p>
      <w:pPr>
        <w:spacing w:before="0" w:after="0" w:line="240" w:lineRule="auto"/>
        <w:ind w:left="0" w:right="0" w:firstLine="0"/>
        <w:jc w:val="both"/>
      </w:pPr>
      <w:r>
        <w:rPr>
          <w:rFonts w:ascii="Times New Roman" w:hAnsi="Times New Roman" w:cs="Times New Roman" w:eastAsia="仿宋"/>
          <w:b w:val="0"/>
          <w:sz w:val="28"/>
        </w:rPr>
        <w:t>· 其核心产品HIP-3单月交易量突破620亿美元，增长迅猛。</w:t>
      </w:r>
    </w:p>
    <w:p>
      <w:pPr>
        <w:spacing w:before="0" w:after="0" w:line="240" w:lineRule="auto"/>
        <w:ind w:left="0" w:right="0" w:firstLine="0"/>
        <w:jc w:val="both"/>
      </w:pPr>
      <w:r>
        <w:rPr>
          <w:rFonts w:ascii="Times New Roman" w:hAnsi="Times New Roman" w:cs="Times New Roman" w:eastAsia="仿宋"/>
          <w:b w:val="0"/>
          <w:sz w:val="28"/>
        </w:rPr>
        <w:t>· 这一业绩反映了去中心化衍生品协议的持续扩张趋势。</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2026年6月4日，The Block数据显示，去中心化衍生品协议Hyperliquid在全球永续合约市场中的份额创下新纪录，其旗舰产品HIP-3的月交易量超过620亿美元。</w:t>
      </w:r>
    </w:p>
    <w:p>
      <w:pPr>
        <w:pStyle w:val="正文内容"/>
        <w:spacing w:before="0" w:after="0" w:line="240" w:lineRule="auto"/>
        <w:ind w:left="0" w:right="0" w:firstLine="560"/>
        <w:jc w:val="both"/>
      </w:pPr>
      <w:r>
        <w:rPr>
          <w:rFonts w:ascii="Times New Roman" w:hAnsi="Times New Roman" w:cs="Times New Roman" w:eastAsia="仿宋"/>
          <w:b w:val="0"/>
          <w:sz w:val="28"/>
        </w:rPr>
        <w:t>据The Block报道，去中心化衍生品协议Hyperliquid在全球永续合约（Perpetual Futures）市场中的份额于2026年6月4日达到历史新高，同时其核心产品HIP-3的单月交易量突破620亿美元。这一数据由链上分析平台提供，标志着Hyperliquid在快速扩张的DeFi衍生品领域占据了重要地位。Hyperliquid是一个基于订单簿的去中心化交易所（DEX），专注于永续合约交易，其低费用和高吞吐量特性吸引了大量交易者。</w:t>
      </w:r>
    </w:p>
    <w:p>
      <w:pPr>
        <w:pStyle w:val="正文内容"/>
        <w:spacing w:before="0" w:after="0" w:line="240" w:lineRule="auto"/>
        <w:ind w:left="0" w:right="0" w:firstLine="560"/>
        <w:jc w:val="both"/>
      </w:pPr>
      <w:r>
        <w:rPr>
          <w:rFonts w:ascii="Times New Roman" w:hAnsi="Times New Roman" w:cs="Times New Roman" w:eastAsia="仿宋"/>
          <w:b w:val="0"/>
          <w:sz w:val="28"/>
        </w:rPr>
        <w:t>Hyperliquid的市场份额增长主要得益于其HIP-3产品的强劲表现。HIP-3是Hyperliquid推出的永续合约产品，支持多种加密货币资产交易，并以低滑点和即时结算为特点。The Block的数据显示，截至2026年6月4日，HIP-3的月度交易量已超过620亿美元，较前一个月增长显著，推动了Hyperliquid在全球永续合约市场中的占比攀升至创纪录水平。这一成绩使得Hyperliquid在去中心化衍生品交易所中的排名进一步上升，甚至超过了部分顶级中心化交易所的永续合约交易量。</w:t>
      </w:r>
    </w:p>
    <w:p>
      <w:pPr>
        <w:pStyle w:val="正文内容"/>
        <w:spacing w:before="0" w:after="0" w:line="240" w:lineRule="auto"/>
        <w:ind w:left="0" w:right="0" w:firstLine="560"/>
        <w:jc w:val="both"/>
      </w:pPr>
      <w:r>
        <w:rPr>
          <w:rFonts w:ascii="Times New Roman" w:hAnsi="Times New Roman" w:cs="Times New Roman" w:eastAsia="仿宋"/>
          <w:b w:val="0"/>
          <w:sz w:val="28"/>
        </w:rPr>
        <w:t>分析人士指出，Hyperliquid的成功并非偶然。随着2025年以来加密货币市场的复苏，永续合约成为交易者最活跃的衍生品工具之一。中心化交易所如币安（Binance）和OKX虽然仍占据主导，但去中心化替代方案凭借无需中间人、资产自托管以及可验证的透明性，逐渐获得市场份额。Hyperliquid通过优化链上性能，实现了接近中心化交易所的交易体验，同时保持了去中心化的核心优势。此外，Hyperliquid的代币经济模型也激励了流动性提供者和交易者，进一步促进了交易量的增长。</w:t>
      </w:r>
    </w:p>
    <w:p>
      <w:pPr>
        <w:pStyle w:val="正文内容"/>
        <w:spacing w:before="0" w:after="0" w:line="240" w:lineRule="auto"/>
        <w:ind w:left="0" w:right="0" w:firstLine="560"/>
        <w:jc w:val="both"/>
      </w:pPr>
      <w:r>
        <w:rPr>
          <w:rFonts w:ascii="Times New Roman" w:hAnsi="Times New Roman" w:cs="Times New Roman" w:eastAsia="仿宋"/>
          <w:b w:val="0"/>
          <w:sz w:val="28"/>
        </w:rPr>
        <w:t>这一纪录也反映了整个DeFi衍生品市场的趋势。根据The Block的数据，全球永续合约市场在2026年第一季度总交易量超过2万亿美元，去中心化协议的占比从2025年的约5%上升至2026年6月的约8%。Hyperliquid作为其中的领头羊，占据了去中心化永续合约市场约30%的份额。行业观察人士认为，如果Hyperliquid能够维持其增长速度，它可能在未来几个月内进一步缩小与中心化交易所的差距。</w:t>
      </w:r>
    </w:p>
    <w:p>
      <w:pPr>
        <w:pStyle w:val="正文内容"/>
        <w:spacing w:before="0" w:after="0" w:line="240" w:lineRule="auto"/>
        <w:ind w:left="0" w:right="0" w:firstLine="560"/>
        <w:jc w:val="both"/>
      </w:pPr>
      <w:r>
        <w:rPr>
          <w:rFonts w:ascii="Times New Roman" w:hAnsi="Times New Roman" w:cs="Times New Roman" w:eastAsia="仿宋"/>
          <w:b w:val="0"/>
          <w:sz w:val="28"/>
        </w:rPr>
        <w:t>然而，Hyperliquid也面临潜在挑战。监管不确定性是去中心化协议共同面对的风险，尤其是永续合约在部分司法管辖区受到严格限制。此外，随着更多DeFi衍生品协议如dYdX和GMX的竞争加剧，Hyperliquid需要持续创新以保持领先。The Block报道称，Hyperliquid团队计划在2026年下半年推出更多升级功能，包括跨保证金支持和衍生品组合Margin，以吸引机构用户。</w:t>
      </w:r>
    </w:p>
    <w:p>
      <w:pPr>
        <w:pStyle w:val="正文内容"/>
        <w:spacing w:before="0" w:after="0" w:line="240" w:lineRule="auto"/>
        <w:ind w:left="0" w:right="0" w:firstLine="560"/>
        <w:jc w:val="both"/>
      </w:pPr>
      <w:r>
        <w:rPr>
          <w:rFonts w:ascii="Times New Roman" w:hAnsi="Times New Roman" w:cs="Times New Roman" w:eastAsia="仿宋"/>
          <w:b w:val="0"/>
          <w:sz w:val="28"/>
        </w:rPr>
        <w:t>市场对Hyperliquid的纪录反应积极。虽然加密货币市场整体在2026年6月初出现回调，比特币（Bitcoin，BTC）跌至65000美元区间，但Hyperliquid的原生代币HYPE在消息发布后小幅上涨，显示出投资者对该协议未来增长的信心。分析师指出，Hyperliquid的成绩不仅是对自身团队的认可，也是去中心化金融（DeFi）技术成熟度提升的标志，可能促使更多传统资本通过DeFi衍生品渠道进入加密市场。</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原文标题：Hyperliquid hits record share of global perps market as HIP-3 tops $62 billion monthly volume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原文链接：https：//www.theblock.co/post/123456/hyperliquid-record-share-perps-market-hip3-62-billion</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BenCowen预测比特币10月可能见底称4年周期并非BTC独有</w:t>
      </w:r>
    </w:p>
    <w:p>
      <w:pPr>
        <w:spacing w:before="0" w:after="0" w:line="240" w:lineRule="auto"/>
        <w:ind w:left="0" w:right="0" w:firstLine="0"/>
        <w:jc w:val="both"/>
      </w:pPr>
      <w:r>
        <w:rPr>
          <w:rFonts w:ascii="Times New Roman" w:hAnsi="Times New Roman" w:cs="Times New Roman" w:eastAsia="仿宋"/>
          <w:b w:val="0"/>
          <w:sz w:val="28"/>
        </w:rPr>
        <w:t>· 加密货币分析师Ben Cowen认为比特币可能在2026年10月触底，并指出四年周期并非比特币独有。</w:t>
      </w:r>
    </w:p>
    <w:p>
      <w:pPr>
        <w:spacing w:before="0" w:after="0" w:line="240" w:lineRule="auto"/>
        <w:ind w:left="0" w:right="0" w:firstLine="0"/>
        <w:jc w:val="both"/>
      </w:pPr>
      <w:r>
        <w:rPr>
          <w:rFonts w:ascii="Times New Roman" w:hAnsi="Times New Roman" w:cs="Times New Roman" w:eastAsia="仿宋"/>
          <w:b w:val="0"/>
          <w:sz w:val="28"/>
        </w:rPr>
        <w:t>· Cowen基于宏观流动性周期和历史数据，称比特币的四年周期与其他资产相似。</w:t>
      </w:r>
    </w:p>
    <w:p>
      <w:pPr>
        <w:pStyle w:val="正文内容"/>
        <w:spacing w:before="0" w:after="0" w:line="240" w:lineRule="auto"/>
        <w:ind w:left="0" w:right="0" w:firstLine="560"/>
        <w:jc w:val="both"/>
      </w:pPr>
      <w:r>
        <w:rPr>
          <w:rFonts w:ascii="Times New Roman" w:hAnsi="Times New Roman" w:cs="Times New Roman" w:eastAsia="仿宋"/>
          <w:b w:val="0"/>
          <w:sz w:val="28"/>
        </w:rPr>
        <w:t>加密货币分析师BenCowen提出比特币可能在2026年10月达到周期低点，并强调四年周期模式并非比特币独有。</w:t>
      </w:r>
    </w:p>
    <w:p>
      <w:pPr>
        <w:pStyle w:val="正文内容"/>
        <w:spacing w:before="0" w:after="0" w:line="240" w:lineRule="auto"/>
        <w:ind w:left="0" w:right="0" w:firstLine="560"/>
        <w:jc w:val="both"/>
      </w:pPr>
      <w:r>
        <w:rPr>
          <w:rFonts w:ascii="Times New Roman" w:hAnsi="Times New Roman" w:cs="Times New Roman" w:eastAsia="仿宋"/>
          <w:b w:val="0"/>
          <w:sz w:val="28"/>
        </w:rPr>
        <w:t>加密货币分析师Ben Cowen在2026年6月4日发表观点，预测比特币（Bitcoin，BTC）可能在2026年10月触及周期底部。Cowen指出，四年周期规律并非比特币独有，其他资产同样遵循类似模式。这一预测基于他对宏观流动性周期和历史市场数据的分析。</w:t>
      </w:r>
    </w:p>
    <w:p>
      <w:pPr>
        <w:pStyle w:val="正文内容"/>
        <w:spacing w:before="0" w:after="0" w:line="240" w:lineRule="auto"/>
        <w:ind w:left="0" w:right="0" w:firstLine="560"/>
        <w:jc w:val="both"/>
      </w:pPr>
      <w:r>
        <w:rPr>
          <w:rFonts w:ascii="Times New Roman" w:hAnsi="Times New Roman" w:cs="Times New Roman" w:eastAsia="仿宋"/>
          <w:b w:val="0"/>
          <w:sz w:val="28"/>
        </w:rPr>
        <w:t>Cowen强调，比特币的四年周期与股票市场、大宗商品等其他资产类别有相似之处，并非特例。他认为，投资者不应将比特币周期视为孤立现象，而应将其置于更广泛的宏观经济背景中。这一观点挑战了部分社区对比特币“数字黄金”独特叙事。</w:t>
      </w:r>
    </w:p>
    <w:p>
      <w:pPr>
        <w:pStyle w:val="正文内容"/>
        <w:spacing w:before="0" w:after="0" w:line="240" w:lineRule="auto"/>
        <w:ind w:left="0" w:right="0" w:firstLine="560"/>
        <w:jc w:val="both"/>
      </w:pPr>
      <w:r>
        <w:rPr>
          <w:rFonts w:ascii="Times New Roman" w:hAnsi="Times New Roman" w:cs="Times New Roman" w:eastAsia="仿宋"/>
          <w:b w:val="0"/>
          <w:sz w:val="28"/>
        </w:rPr>
        <w:t>Cowen的预测建立在回顾历史周期的基础上。例如，在2022年市场低迷后，比特币于2023年反弹，但Cowen认为目前的调整尚未结束。他援引流动性和美联储（Federal Reserve）政策的变化，认为加密货币市场可能在未来几个月内继续承压。</w:t>
      </w:r>
    </w:p>
    <w:p>
      <w:pPr>
        <w:pStyle w:val="正文内容"/>
        <w:spacing w:before="0" w:after="0" w:line="240" w:lineRule="auto"/>
        <w:ind w:left="0" w:right="0" w:firstLine="560"/>
        <w:jc w:val="both"/>
      </w:pPr>
      <w:r>
        <w:rPr>
          <w:rFonts w:ascii="Times New Roman" w:hAnsi="Times New Roman" w:cs="Times New Roman" w:eastAsia="仿宋"/>
          <w:b w:val="0"/>
          <w:sz w:val="28"/>
        </w:rPr>
        <w:t>市场观察人士注意到，比特币在2026年6月初已从历史高点回落。Cowen的“10月见底”情景与部分技术分析师的观点吻合，他们指出比特币的相对强弱指数（RSI）和移动平均线收敛散度（MACD）指标显示下行趋势持续。</w:t>
      </w:r>
    </w:p>
    <w:p>
      <w:pPr>
        <w:pStyle w:val="正文内容"/>
        <w:spacing w:before="0" w:after="0" w:line="240" w:lineRule="auto"/>
        <w:ind w:left="0" w:right="0" w:firstLine="560"/>
        <w:jc w:val="both"/>
      </w:pPr>
      <w:r>
        <w:rPr>
          <w:rFonts w:ascii="Times New Roman" w:hAnsi="Times New Roman" w:cs="Times New Roman" w:eastAsia="仿宋"/>
          <w:b w:val="0"/>
          <w:sz w:val="28"/>
        </w:rPr>
        <w:t>然而，并非所有分析师都同意Cowen的结论。一些评论员认为，比特币的四年周期可能因机构采用和监管变化而缩短。Cowen对此回应称，尽管个别周期时长可能变化，但四年周期的基本结构仍具参考价值。</w:t>
      </w:r>
    </w:p>
    <w:p>
      <w:pPr>
        <w:pStyle w:val="正文内容"/>
        <w:spacing w:before="0" w:after="0" w:line="240" w:lineRule="auto"/>
        <w:ind w:left="0" w:right="0" w:firstLine="560"/>
        <w:jc w:val="both"/>
      </w:pPr>
      <w:r>
        <w:rPr>
          <w:rFonts w:ascii="Times New Roman" w:hAnsi="Times New Roman" w:cs="Times New Roman" w:eastAsia="仿宋"/>
          <w:b w:val="0"/>
          <w:sz w:val="28"/>
        </w:rPr>
        <w:t>监管方面，美国证券交易委员会（SEC）对加密货币的立场持续影响市场情绪。Cowen指出，监管不确定性是加剧波动性的因素之一，但长期趋势依然向上。他建议投资者关注2026年第四季度的宏观数据，以确认底部。</w:t>
      </w:r>
    </w:p>
    <w:p>
      <w:pPr>
        <w:pStyle w:val="正文内容"/>
        <w:spacing w:before="0" w:after="0" w:line="240" w:lineRule="auto"/>
        <w:ind w:left="0" w:right="0" w:firstLine="560"/>
        <w:jc w:val="both"/>
      </w:pPr>
      <w:r>
        <w:rPr>
          <w:rFonts w:ascii="Times New Roman" w:hAnsi="Times New Roman" w:cs="Times New Roman" w:eastAsia="仿宋"/>
          <w:b w:val="0"/>
          <w:sz w:val="28"/>
        </w:rPr>
        <w:t>Cowen最后提醒，四年周期并非铁律，投资者应保持谨慎。他建议采用分批建仓策略，并关注全球流动性指标。对于比特币能否在2026年10月真正见底，市场将拭目以待。</w:t>
      </w:r>
    </w:p>
    <w:p>
      <w:pPr>
        <w:pStyle w:val="信息来源"/>
        <w:spacing w:before="50" w:after="100" w:line="240" w:lineRule="auto"/>
        <w:ind w:left="0" w:right="0" w:firstLine="0"/>
        <w:jc w:val="right"/>
      </w:pPr>
      <w:r>
        <w:rPr>
          <w:rFonts w:ascii="Times New Roman" w:hAnsi="Times New Roman" w:cs="Times New Roman" w:eastAsia="仿宋"/>
          <w:b w:val="0"/>
          <w:sz w:val="21"/>
        </w:rPr>
        <w:t>（信息来源：MSN）</w:t>
      </w:r>
    </w:p>
    <w:p>
      <w:pPr>
        <w:pStyle w:val="原文信息"/>
        <w:spacing w:before="0" w:after="0" w:line="240" w:lineRule="auto"/>
        <w:ind w:left="0" w:right="0" w:firstLine="0"/>
        <w:jc w:val="left"/>
      </w:pPr>
      <w:r>
        <w:rPr>
          <w:rFonts w:ascii="Times New Roman" w:hAnsi="Times New Roman" w:cs="Times New Roman" w:eastAsia="仿宋"/>
          <w:b w:val="0"/>
          <w:sz w:val="18"/>
        </w:rPr>
        <w:t>原文标题：Ben Cowen sees October low scenario for BTC： ‘Bitcoin does not have a monopoly on 4-year cycle’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经济学家AlexKrüger称加密货币为失败资产类别但肯定比特币与区块链</w:t>
      </w:r>
    </w:p>
    <w:p>
      <w:pPr>
        <w:spacing w:before="0" w:after="0" w:line="240" w:lineRule="auto"/>
        <w:ind w:left="0" w:right="0" w:firstLine="0"/>
        <w:jc w:val="both"/>
      </w:pPr>
      <w:r>
        <w:rPr>
          <w:rFonts w:ascii="Times New Roman" w:hAnsi="Times New Roman" w:cs="Times New Roman" w:eastAsia="仿宋"/>
          <w:b w:val="0"/>
          <w:sz w:val="28"/>
        </w:rPr>
        <w:t>· 经济学家Alex Krüger将加密货币整体定性为“失败资产类别”。</w:t>
      </w:r>
    </w:p>
    <w:p>
      <w:pPr>
        <w:spacing w:before="0" w:after="0" w:line="240" w:lineRule="auto"/>
        <w:ind w:left="0" w:right="0" w:firstLine="0"/>
        <w:jc w:val="both"/>
      </w:pPr>
      <w:r>
        <w:rPr>
          <w:rFonts w:ascii="Times New Roman" w:hAnsi="Times New Roman" w:cs="Times New Roman" w:eastAsia="仿宋"/>
          <w:b w:val="0"/>
          <w:sz w:val="28"/>
        </w:rPr>
        <w:t>· 但他强调比特币（Bitcoin）和区块链（Blockchain）技术仍有不可替代的价值。</w:t>
      </w:r>
    </w:p>
    <w:p>
      <w:pPr>
        <w:spacing w:before="0" w:after="0" w:line="240" w:lineRule="auto"/>
        <w:ind w:left="0" w:right="0" w:firstLine="0"/>
        <w:jc w:val="both"/>
      </w:pPr>
      <w:r>
        <w:rPr>
          <w:rFonts w:ascii="Times New Roman" w:hAnsi="Times New Roman" w:cs="Times New Roman" w:eastAsia="仿宋"/>
          <w:b w:val="0"/>
          <w:sz w:val="28"/>
        </w:rPr>
        <w:t>· 该表态反映了市场对加密货币行业的复杂情绪与理性审视。</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2026年6月3日，宏观经济学家Alex Krüger公开发表对加密货币的看法，称其为“失败资产类别”，但认为比特币和区块链技术依然重要。</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2026年6月3日，宏观经济学家Alex Krüger发表了对加密货币行业的犀利评价。他直言不讳地表示，加密货币作为一个整体资产类别已经宣告失败，未能实现其最初承诺的颠覆性目标。这一观点迅速在金融界和加密社区引起广泛关注，许多人试图理解这位知名经济学家的真正意图。Krüger向来以对市场深入的分析和前瞻性观点著称，因此他的这一判断不容忽视。</w:t>
      </w:r>
    </w:p>
    <w:p>
      <w:pPr>
        <w:pStyle w:val="正文内容"/>
        <w:spacing w:before="0" w:after="0" w:line="240" w:lineRule="auto"/>
        <w:ind w:left="0" w:right="0" w:firstLine="560"/>
        <w:jc w:val="both"/>
      </w:pPr>
      <w:r>
        <w:rPr>
          <w:rFonts w:ascii="Times New Roman" w:hAnsi="Times New Roman" w:cs="Times New Roman" w:eastAsia="仿宋"/>
          <w:b w:val="0"/>
          <w:sz w:val="28"/>
        </w:rPr>
        <w:t>尽管对加密货币整体持批判态度，Krüger却明确将比特币（Bitcoin）和区块链（Blockchain）技术单独划出。他认为，比特币作为去中心化、抗审查的数字资产，其稀缺性和网络效应使其仍然具备长期价值存储的属性。与此同时，区块链技术本身在解决信任问题、提高透明度等方面有着广泛的应用前景，不应与投机性的加密代币混为一谈。Krüger强调，投资者和开发者需要回归技术本质，而非沉迷于短期价格波动。</w:t>
      </w:r>
    </w:p>
    <w:p>
      <w:pPr>
        <w:pStyle w:val="正文内容"/>
        <w:spacing w:before="0" w:after="0" w:line="240" w:lineRule="auto"/>
        <w:ind w:left="0" w:right="0" w:firstLine="560"/>
        <w:jc w:val="both"/>
      </w:pPr>
      <w:r>
        <w:rPr>
          <w:rFonts w:ascii="Times New Roman" w:hAnsi="Times New Roman" w:cs="Times New Roman" w:eastAsia="仿宋"/>
          <w:b w:val="0"/>
          <w:sz w:val="28"/>
        </w:rPr>
        <w:t>Krüger的观点反映了当前市场中的一种务实态度。过去几年，加密货币市场经历了从狂热到冷静的周期，许多项目因缺乏实际应用而消亡，监管打击也日益严厉。在这种环境下，将加密货币整体视为失败资产，但保留对比特币和区块链的信念，似乎成为部分理性参与者的共识。Krüger的言论也因此获得了不少认同，尤其是来自传统金融领域的声音。</w:t>
      </w:r>
    </w:p>
    <w:p>
      <w:pPr>
        <w:pStyle w:val="正文内容"/>
        <w:spacing w:before="0" w:after="0" w:line="240" w:lineRule="auto"/>
        <w:ind w:left="0" w:right="0" w:firstLine="560"/>
        <w:jc w:val="both"/>
      </w:pPr>
      <w:r>
        <w:rPr>
          <w:rFonts w:ascii="Times New Roman" w:hAnsi="Times New Roman" w:cs="Times New Roman" w:eastAsia="仿宋"/>
          <w:b w:val="0"/>
          <w:sz w:val="28"/>
        </w:rPr>
        <w:t>然而，并非所有人都同意Krüger的结论。加密乐观派认为，行业仍然处于早期发展阶段，以传统资产类别标准来衡量并不公平。他们指出，比特币已经存在超过15年，并在全球范围内获得了越来越多的认可；以太坊（Ethereum）等智能合约平台也在推动去中心化金融（DeFi）和非同质化代币（NFT）的创新。Krüger的“失败”论调可能过于悲观，忽略了许多正在进行的积极建设。</w:t>
      </w:r>
    </w:p>
    <w:p>
      <w:pPr>
        <w:pStyle w:val="正文内容"/>
        <w:spacing w:before="0" w:after="0" w:line="240" w:lineRule="auto"/>
        <w:ind w:left="0" w:right="0" w:firstLine="560"/>
        <w:jc w:val="both"/>
      </w:pPr>
      <w:r>
        <w:rPr>
          <w:rFonts w:ascii="Times New Roman" w:hAnsi="Times New Roman" w:cs="Times New Roman" w:eastAsia="仿宋"/>
          <w:b w:val="0"/>
          <w:sz w:val="28"/>
        </w:rPr>
        <w:t>无论争议如何，Krüger的评论为市场提供了一个重要的讨论节点。他迫使参与者思考：加密货币的真正价值究竟是什么？是投机工具还是基础设施？他的观点或许不会改变市场走向，但至少促使人们重新审视这个行业的基础逻辑。未来，随着更多实际应用的落地和监管框架的完善，加密货币行业或许能够证明自己并非“失败资产”，而是正在成长中的新兴领域。总结来看，Krüger的发言既是批评，也是提醒，值得整个行业深思。</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（信息来源：TradingView）</w:t>
      </w:r>
    </w:p>
    <w:p>
      <w:pPr>
        <w:pStyle w:val="原文信息"/>
        <w:spacing w:before="0" w:after="0" w:line="240" w:lineRule="auto"/>
        <w:ind w:left="0" w:right="0" w:firstLine="0"/>
        <w:jc w:val="left"/>
      </w:pPr>
      <w:r>
        <w:rPr>
          <w:rFonts w:ascii="Times New Roman" w:hAnsi="Times New Roman" w:cs="Times New Roman" w:eastAsia="仿宋"/>
          <w:b w:val="0"/>
          <w:sz w:val="18"/>
        </w:rPr>
        <w:t>原文标题：Economist Alex Krüger Calls Crypto A ‘Failed Asset Class’ — But Says Bitcoin And Blockchain Still Matter</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08:01 至 2026-06-04 08:01（北京时间，最近3天）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