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黑体"/>
          <w:b w:val="0"/>
          <w:color w:val="2F5496"/>
          <w:sz w:val="32"/>
        </w:rPr>
        <w:t>专题研究</w:t>
      </w:r>
    </w:p>
    <w:p>
      <w:pPr>
        <w:jc w:val="center"/>
      </w:pPr>
      <w:r>
        <w:rPr>
          <w:rFonts w:ascii="Times New Roman" w:hAnsi="Times New Roman" w:cs="Times New Roman" w:eastAsia="黑体"/>
          <w:b w:val="0"/>
          <w:sz w:val="30"/>
        </w:rPr>
        <w:t>Galaxy Research：去中心化金融的非法金融风险评估</w:t>
      </w:r>
    </w:p>
    <w:p>
      <w:pPr>
        <w:spacing w:before="0" w:after="0" w:line="240" w:lineRule="auto"/>
        <w:ind w:left="0" w:right="0" w:firstLine="0"/>
        <w:jc w:val="both"/>
      </w:pPr>
      <w:r>
        <w:rPr>
          <w:rFonts w:ascii="Times New Roman" w:hAnsi="Times New Roman" w:cs="Times New Roman" w:eastAsia="仿宋"/>
          <w:b w:val="0"/>
          <w:sz w:val="28"/>
        </w:rPr>
        <w:t>· DeFi服务缺乏统一定义，许多声称去中心化的服务实际上存在中心化治理与控制</w:t>
      </w:r>
    </w:p>
    <w:p>
      <w:pPr>
        <w:spacing w:before="0" w:after="0" w:line="240" w:lineRule="auto"/>
        <w:ind w:left="0" w:right="0" w:firstLine="0"/>
        <w:jc w:val="both"/>
      </w:pPr>
      <w:r>
        <w:rPr>
          <w:rFonts w:ascii="Times New Roman" w:hAnsi="Times New Roman" w:cs="Times New Roman" w:eastAsia="仿宋"/>
          <w:b w:val="0"/>
          <w:sz w:val="28"/>
        </w:rPr>
        <w:t>· 非法行为者（包括勒索软件犯罪者、窃贼、诈骗者和朝鲜网络行为者）利用DeFi转移和清洗非法收益</w:t>
      </w:r>
    </w:p>
    <w:p>
      <w:pPr>
        <w:spacing w:before="0" w:after="0" w:line="240" w:lineRule="auto"/>
        <w:ind w:left="0" w:right="0" w:firstLine="0"/>
        <w:jc w:val="both"/>
      </w:pPr>
      <w:r>
        <w:rPr>
          <w:rFonts w:ascii="Times New Roman" w:hAnsi="Times New Roman" w:cs="Times New Roman" w:eastAsia="仿宋"/>
          <w:b w:val="0"/>
          <w:sz w:val="28"/>
        </w:rPr>
        <w:t>· 当前最大非法金融风险来自未遵守美国反洗钱/反恐怖融资义务的DeFi服务</w:t>
      </w:r>
    </w:p>
    <w:p>
      <w:pPr>
        <w:spacing w:before="0" w:after="0" w:line="240" w:lineRule="auto"/>
        <w:ind w:left="0" w:right="0" w:firstLine="0"/>
        <w:jc w:val="both"/>
      </w:pPr>
      <w:r>
        <w:rPr>
          <w:rFonts w:ascii="Times New Roman" w:hAnsi="Times New Roman" w:cs="Times New Roman" w:eastAsia="仿宋"/>
          <w:b w:val="0"/>
          <w:sz w:val="28"/>
        </w:rPr>
        <w:t>· DeFi服务若不符合《银行保密法》中的金融机构定义，可能导致监管缺口</w:t>
      </w:r>
    </w:p>
    <w:p>
      <w:pPr>
        <w:spacing w:before="0" w:after="0" w:line="240" w:lineRule="auto"/>
        <w:ind w:left="0" w:right="0" w:firstLine="0"/>
        <w:jc w:val="both"/>
      </w:pPr>
      <w:r>
        <w:rPr>
          <w:rFonts w:ascii="Times New Roman" w:hAnsi="Times New Roman" w:cs="Times New Roman" w:eastAsia="仿宋"/>
          <w:b w:val="0"/>
          <w:sz w:val="28"/>
        </w:rPr>
        <w:t>· 公共区块链的透明性以及行业合规工具有一定的缓解作用，但无法替代受监管金融中介的AML/CFT控制</w:t>
      </w:r>
    </w:p>
    <w:p>
      <w:pPr>
        <w:sectPr>
          <w:pgSz w:w="12240" w:h="15840"/>
          <w:pgMar w:top="1440" w:right="1803" w:bottom="1440" w:left="1803" w:header="850" w:footer="992" w:gutter="0"/>
          <w:cols w:space="720"/>
          <w:docGrid w:type="lines" w:linePitch="312"/>
        </w:sectPr>
      </w:pPr>
    </w:p>
    <w:p>
      <w:pPr>
        <w:pStyle w:val="正文内容"/>
        <w:spacing w:before="0" w:after="0" w:line="240" w:lineRule="auto"/>
        <w:ind w:left="0" w:right="0" w:firstLine="560"/>
        <w:jc w:val="both"/>
      </w:pPr>
      <w:r>
        <w:rPr>
          <w:rFonts w:ascii="Times New Roman" w:hAnsi="Times New Roman" w:cs="Times New Roman" w:eastAsia="仿宋"/>
          <w:b w:val="0"/>
          <w:sz w:val="28"/>
        </w:rPr>
        <w:t>执行摘要 本风险评估探讨了非法行为者如何滥用通常称为去中心化金融（decentralized finance，DeFi）的服务，以及DeFi服务特有的脆弱性。调查结果将有助于识别和解决美国在DeFi的反洗钱和打击恐怖融资（anti-money laundering and countering the financing of terrorism，AML/CFT）监管、监督和执行机制方面的潜在漏洞。目前，即使在行业参与者中，也没有普遍接受的DeFi定义（美国司法部（DOJ）《根据第14067号行政命令第5(b)(iii)节总检察长的报告：执法部门在检测、调查和起诉数字资产相关犯罪活动中的作用》，2022年9月，第10页；本定义用于风险评估之目的，不应被解释为《银行保密法》（Bank Secrecy Act，BSA）或其他相关监管制度下的监管定义。第2.4节讨论了虚拟资产服务提供商（VASP）可能更具或更不具去中心化的几个特征，通常处于动态谱系中），或什么特征会使产品、服务、安排或活动变得“去中心化”。</w:t>
      </w:r>
    </w:p>
    <w:p>
      <w:pPr>
        <w:pStyle w:val="正文内容"/>
        <w:spacing w:before="0" w:after="0" w:line="240" w:lineRule="auto"/>
        <w:ind w:left="0" w:right="0" w:firstLine="560"/>
        <w:jc w:val="both"/>
      </w:pPr>
      <w:r>
        <w:rPr>
          <w:rFonts w:ascii="Times New Roman" w:hAnsi="Times New Roman" w:cs="Times New Roman" w:eastAsia="仿宋"/>
          <w:b w:val="0"/>
          <w:sz w:val="28"/>
        </w:rPr>
        <w:t>该术语广义上指虚拟资产协议和服务，它们声称允许某种形式的自动化点对点（peer-to-peer，P2P）交易，通常通过使用基于区块链（blockchain）技术的、称为“智能合约”（smart contracts）的自动执行代码来实现（国际证监会组织（IOSCO）《去中心化金融报告》，2022年3月；区块链指一种分布式账本技术（distributed ledger technology，DLT），对分组为区块的交易进行加密签名；DOJ，同上）。该术语在虚拟资产行业中经常被松散使用，并且通常指实际上并未功能去中心化的服务。</w:t>
      </w:r>
    </w:p>
    <w:p>
      <w:pPr>
        <w:pStyle w:val="正文内容"/>
        <w:spacing w:before="0" w:after="0" w:line="240" w:lineRule="auto"/>
        <w:ind w:left="0" w:right="0" w:firstLine="560"/>
        <w:jc w:val="both"/>
      </w:pPr>
      <w:r>
        <w:rPr>
          <w:rFonts w:ascii="Times New Roman" w:hAnsi="Times New Roman" w:cs="Times New Roman" w:eastAsia="仿宋"/>
          <w:b w:val="0"/>
          <w:sz w:val="28"/>
        </w:rPr>
        <w:t>一个声称的DeFi服务在现实中实际去中心化的程度取决于事实和情况，本风险评估发现DeFi服务通常有一个控制组织，提供一定程度的集中管理和治理。</w:t>
      </w:r>
    </w:p>
    <w:p>
      <w:pPr>
        <w:pStyle w:val="正文内容"/>
        <w:spacing w:before="0" w:after="0" w:line="240" w:lineRule="auto"/>
        <w:ind w:left="0" w:right="0" w:firstLine="560"/>
        <w:jc w:val="both"/>
      </w:pPr>
      <w:r>
        <w:rPr>
          <w:rFonts w:ascii="Times New Roman" w:hAnsi="Times New Roman" w:cs="Times New Roman" w:eastAsia="仿宋"/>
          <w:b w:val="0"/>
          <w:sz w:val="28"/>
        </w:rPr>
        <w:t>评估发现，非法行为者，包括勒索软件网络犯罪分子、窃贼、诈骗者和朝鲜（Democratic People’s Republic of Korea，DPRK）网络行为者，正在使用DeFi服务转移和清洗其非法所得。为此，非法行为者正在利用美国和外国AML/CFT监管、监督和执行机制以及支撑DeFi服务的技术中的漏洞。</w:t>
      </w:r>
    </w:p>
    <w:p>
      <w:pPr>
        <w:pStyle w:val="正文内容"/>
        <w:spacing w:before="0" w:after="0" w:line="240" w:lineRule="auto"/>
        <w:ind w:left="0" w:right="0" w:firstLine="560"/>
        <w:jc w:val="both"/>
      </w:pPr>
      <w:r>
        <w:rPr>
          <w:rFonts w:ascii="Times New Roman" w:hAnsi="Times New Roman" w:cs="Times New Roman" w:eastAsia="仿宋"/>
          <w:b w:val="0"/>
          <w:sz w:val="28"/>
        </w:rPr>
        <w:t>特别是，本评估发现，该领域当前最大的非法金融风险来自不符合现有AML/CFT义务的DeFi服务。</w:t>
      </w:r>
    </w:p>
    <w:p>
      <w:pPr>
        <w:pStyle w:val="正文内容"/>
        <w:spacing w:before="0" w:after="0" w:line="240" w:lineRule="auto"/>
        <w:ind w:left="0" w:right="0" w:firstLine="560"/>
        <w:jc w:val="both"/>
      </w:pPr>
      <w:r>
        <w:rPr>
          <w:rFonts w:ascii="Times New Roman" w:hAnsi="Times New Roman" w:cs="Times New Roman" w:eastAsia="仿宋"/>
          <w:b w:val="0"/>
          <w:sz w:val="28"/>
        </w:rPr>
        <w:t>在美国，《银行保密法》（Bank Secrecy Act，BSA）及相关法规（12 USC § 1829b， 12 USC § 1951–1960， 31 USC § 5311–5336， and 31 CFR Chapter X）要求金融机构协助美国政府机构检测和预防资金……</w:t>
      </w:r>
    </w:p>
    <w:p>
      <w:pPr>
        <w:pStyle w:val="正文内容"/>
        <w:spacing w:before="0" w:after="0" w:line="240" w:lineRule="auto"/>
        <w:ind w:left="0" w:right="0" w:firstLine="560"/>
        <w:jc w:val="both"/>
      </w:pPr>
      <w:r>
        <w:rPr>
          <w:rFonts w:ascii="Times New Roman" w:hAnsi="Times New Roman" w:cs="Times New Roman" w:eastAsia="仿宋"/>
          <w:b w:val="0"/>
          <w:sz w:val="28"/>
        </w:rPr>
        <w:t>银行保密法（BSA，Bank Secrecy Act）对广泛的金融机构规定了反洗钱/反恐怖融资（AML/CFT）义务。判断某一实体（包括所谓的去中心化金融（DeFi）服务）是否属于所涵盖的金融机构，取决于其金融活动的具体事实和情况。然而，如果一个DeFi服务按照BSA的定义发挥金融机构的功能，无论该服务是中心化的还是去中心化的，都必须遵守BSA义务，包括AML/CFT义务。DeFi服务声称其“完全去中心化”或计划实现这一点，并不影响其作为BSA下金融机构的地位。尽管如此，许多现有应受BSA监管的DeFi服务未能遵守AML/CFT义务，这一漏洞被非法行为者利用。</w:t>
      </w:r>
    </w:p>
    <w:p>
      <w:pPr>
        <w:pStyle w:val="正文内容"/>
        <w:spacing w:before="0" w:after="0" w:line="240" w:lineRule="auto"/>
        <w:ind w:left="0" w:right="0" w:firstLine="560"/>
        <w:jc w:val="both"/>
      </w:pPr>
      <w:r>
        <w:rPr>
          <w:rFonts w:ascii="Times New Roman" w:hAnsi="Times New Roman" w:cs="Times New Roman" w:eastAsia="仿宋"/>
          <w:b w:val="0"/>
          <w:sz w:val="28"/>
        </w:rPr>
        <w:t>行业参与者对于AML/CFT义务如何适用于DeFi服务缺乏共识，这加剧了风险。在某些情况下，行业提供商可能有意寻求将虚拟资产服务去中心化，试图避免触发AML/CFT义务，却未认识到只要提供商继续提供涵盖范围内的服务，这些义务仍然适用。与此同时，一些组织结构不透明的DeFi服务可能对监管构成重大挑战，并在DeFi服务不遵守AML/CFT义务时，对适用法定和监管义务的执行造成困难。本评估建议加强美国的AML/CFT监管，并在相关情况下，对虚拟资产活动（包括DeFi服务）加强执行力度，以提高虚拟资产公司对BSA义务的遵守程度。</w:t>
      </w:r>
    </w:p>
    <w:p>
      <w:pPr>
        <w:pStyle w:val="正文内容"/>
        <w:spacing w:before="0" w:after="0" w:line="240" w:lineRule="auto"/>
        <w:ind w:left="0" w:right="0" w:firstLine="560"/>
        <w:jc w:val="both"/>
      </w:pPr>
      <w:r>
        <w:rPr>
          <w:rFonts w:ascii="Times New Roman" w:hAnsi="Times New Roman" w:cs="Times New Roman" w:eastAsia="仿宋"/>
          <w:b w:val="0"/>
          <w:sz w:val="28"/>
        </w:rPr>
        <w:t>与此同时，联邦监管机构应根据先前的指导、公开声明和执法行动，进一步与行业接触，解释相关法律法规（包括证券、商品和资金转移法规）如何适用于DeFi服务，并根据需要采取额外的监管行动和发布进一步的指导。本评估还发现，如果DeFi服务不在BSA当前对金融机构定义的范围内（本评估中称为“去中介化”），则可能存在漏洞，因为此类DeFi服务实施AML/CFT措施的可能性较低。如果DeFi服务不在BSA的覆盖范围内，这可能导致其在识别和破坏非法活动、向执法部门及其他主管当局报告可疑活动方面的努力出现空白。</w:t>
      </w:r>
    </w:p>
    <w:p>
      <w:pPr>
        <w:pStyle w:val="正文内容"/>
        <w:spacing w:before="0" w:after="0" w:line="240" w:lineRule="auto"/>
        <w:ind w:left="0" w:right="0" w:firstLine="560"/>
        <w:jc w:val="both"/>
      </w:pPr>
      <w:r>
        <w:rPr>
          <w:rFonts w:ascii="Times New Roman" w:hAnsi="Times New Roman" w:cs="Times New Roman" w:eastAsia="仿宋"/>
          <w:b w:val="0"/>
          <w:sz w:val="28"/>
        </w:rPr>
        <w:t>在全球范围内，根据反洗钱/反恐怖融资全球标准制定机构金融行动特别工作组（FATF，Financial Action Task Force）制定的标准，缺乏足够控制或影响力的实体的DeFi服务可能不明确受AML/CFT义务约束，这可能导致其他辖区的DeFi服务出现潜在空白。本评估建议通过弥合BSA中已识别的任何缺口来加强美国AML/CFT监管体系，以避免某些DeFi服务超出BSA对金融机构的定义范围。其他国家缺乏对国际AML/CFT标准的执行，使得非法行为者能够在没有AML/CFT要求的辖区肆无忌惮地使用DeFi服务，这也是已识别的其他漏洞之一。</w:t>
      </w:r>
    </w:p>
    <w:p>
      <w:pPr>
        <w:pStyle w:val="正文内容"/>
        <w:spacing w:before="0" w:after="0" w:line="240" w:lineRule="auto"/>
        <w:ind w:left="0" w:right="0" w:firstLine="560"/>
        <w:jc w:val="both"/>
      </w:pPr>
      <w:r>
        <w:rPr>
          <w:rFonts w:ascii="Times New Roman" w:hAnsi="Times New Roman" w:cs="Times New Roman" w:eastAsia="仿宋"/>
          <w:b w:val="0"/>
          <w:sz w:val="28"/>
        </w:rPr>
        <w:t>此外，DeFi服务网络安全实践薄弱，导致消费者资产被盗和欺诈，也给国家安全、消费者及虚拟资产行业带来风险。本评估建议加强与外国伙伴的接触，推动更严格地执行国际AML/CFT标准，并倡导虚拟资产公司改善网络安全实践以减轻这些漏洞。评估强调，现有的美国AML/CFT监管框架，加上逐步实施的适用于虚拟资产的全球AML/CFT标准，在一定程度上缓解了已识别的漏洞。这在一定程度上是因为DeFi服务目前依赖中心化虚拟资产服务提供商（VASPs，Virtual Asset Service Providers）来获取法定货币。</w:t>
      </w:r>
    </w:p>
    <w:p>
      <w:pPr>
        <w:pStyle w:val="正文内容"/>
        <w:spacing w:before="0" w:after="0" w:line="240" w:lineRule="auto"/>
        <w:ind w:left="0" w:right="0" w:firstLine="560"/>
        <w:jc w:val="both"/>
      </w:pPr>
      <w:r>
        <w:rPr>
          <w:rFonts w:ascii="Times New Roman" w:hAnsi="Times New Roman" w:cs="Times New Roman" w:eastAsia="仿宋"/>
          <w:b w:val="0"/>
          <w:sz w:val="28"/>
        </w:rPr>
        <w:t>中心化VASPs（本报告中指不声称去中心化的VASPs）通常比DeFi服务拥有更简单的内部结构，始终处于FATF标准的监管范围内，并且比DeFi服务更有可能实施AML/CFT措施。利用公共区块链数据的能力，以及针对DeFi服务开发的行业驱动合规解决方案，也有助于减轻部分非法融资风险。然而，这些措施和公共区块链提供的透明度本身不足以充分解决已识别的漏洞，区块链分析不能取代受监管的金融中介机构应用AML/CFT控制的重要性。尽管如此，美国政府还应寻求进一步促进行业合规工具的负责任创新，这是私营部门许多公司已经在探索的途径。</w:t>
      </w:r>
    </w:p>
    <w:p>
      <w:pPr>
        <w:pStyle w:val="正文内容"/>
        <w:spacing w:before="0" w:after="0" w:line="240" w:lineRule="auto"/>
        <w:ind w:left="0" w:right="0" w:firstLine="560"/>
        <w:jc w:val="both"/>
      </w:pPr>
      <w:r>
        <w:rPr>
          <w:rFonts w:ascii="Times New Roman" w:hAnsi="Times New Roman" w:cs="Times New Roman" w:eastAsia="仿宋"/>
          <w:b w:val="0"/>
          <w:sz w:val="28"/>
        </w:rPr>
        <w:t>本评估认识到，包括DeFi服务在内的虚拟资产生态系统正在迅速变化。美国政府将继续开展研究并与私营部门接触，以支持其对DeFi生态系统发展的理解，以及这些发展如何影响解决非法融资风险的威胁、漏洞和缓解措施。最后，评估提出了几个问题，这些问题将作为评估建议行动的一部分加以考虑，以解决非法融资风险，包括涉及超出BSA金融机构定义范围的DeFi服务的处理，以及需要进一步监管明确的领域。美国财政部欢迎利益相关方就这些问题提供意见。</w:t>
      </w:r>
    </w:p>
    <w:p>
      <w:pPr>
        <w:pStyle w:val="正文内容"/>
        <w:spacing w:before="0" w:after="0" w:line="240" w:lineRule="auto"/>
        <w:ind w:left="0" w:right="0" w:firstLine="560"/>
        <w:jc w:val="both"/>
      </w:pPr>
      <w:r>
        <w:rPr>
          <w:rFonts w:ascii="Times New Roman" w:hAnsi="Times New Roman" w:cs="Times New Roman" w:eastAsia="仿宋"/>
          <w:b w:val="0"/>
          <w:sz w:val="28"/>
        </w:rPr>
        <w:t>此次针对性评估源于2022年国家风险评估（NRA，National Risk Assessment）的发现，即非法行为者滥用了去中心化金融服务（DeFi服务），且许多DeFi服务缺乏减缓非法金融风险的措施，同时也因全球范围内对DeFi风险的担忧日益加剧而开展。12 尽管如此，正如2022年NRA先前所述，本风险评估认识到，就交易量和价值而言，大多数洗钱、恐怖融资和扩散融资仍通过法定货币或虚拟资产生态系统之外的传统方式进行。本评估还指出，DeFi生态系统是“虚拟资产”（virtual assets）更广泛领域的一个要素，该术语由金融行动特别工作组（FATF，Financial Action Task Force）使用，涵盖可进行数字交易或转移、并可用于支付或投资目的的价值数字表示，但不包括法定货币、证券及其他金融资产的数字表示。</w:t>
      </w:r>
    </w:p>
    <w:p>
      <w:pPr>
        <w:pStyle w:val="正文内容"/>
        <w:spacing w:before="0" w:after="0" w:line="240" w:lineRule="auto"/>
        <w:ind w:left="0" w:right="0" w:firstLine="560"/>
        <w:jc w:val="both"/>
      </w:pPr>
      <w:r>
        <w:rPr>
          <w:rFonts w:ascii="Times New Roman" w:hAnsi="Times New Roman" w:cs="Times New Roman" w:eastAsia="仿宋"/>
          <w:b w:val="0"/>
          <w:sz w:val="28"/>
        </w:rPr>
        <w:t>本风险评估首先概述DeFi生态系统的市场结构，然后展示威胁行为者如何滥用DeFi服务参与非法活动并从中获利，特别是勒索软件攻击、盗窃、欺诈和诈骗、毒品贩运以及扩散融资。接着，本评估探讨使DeFi服务被用于非法目的的漏洞，包括不符合反洗钱/反恐怖融资（AML/CFT，Anti-Money Laundering/Combating the Financing of Terrorism）和制裁义务的DeFi服务、去中介化以及外国缺乏国际AML/CFT标准的实施，随后重点介绍可以解决其中一些漏洞的缓解措施。本评估为美国政府提出若干建议，以继续并加强努力，减缓与DeFi服务相关的非法金融风险。最后，本评估提出几个问题，这些问题将作为评估建议行动的一部分加以考虑，以应对非法金融风险。</w:t>
      </w:r>
    </w:p>
    <w:p>
      <w:pPr>
        <w:pStyle w:val="正文内容"/>
        <w:spacing w:before="0" w:after="0" w:line="240" w:lineRule="auto"/>
        <w:ind w:left="0" w:right="0" w:firstLine="560"/>
        <w:jc w:val="both"/>
      </w:pPr>
      <w:r>
        <w:rPr>
          <w:rFonts w:ascii="Times New Roman" w:hAnsi="Times New Roman" w:cs="Times New Roman" w:eastAsia="仿宋"/>
          <w:b w:val="0"/>
          <w:sz w:val="28"/>
        </w:rPr>
        <w:t>二、市场结构定义与范围 通常，DeFi服务声称在没有中心化公司、团体或个人支持的情况下运行，尽管存在一个控制组织提供一定程度的中心化管理或治理（例如，通过去中心化自治组织（DAO，Decentralized Autonomous Organization）、13 集中的所有权或治理权、管理密钥或其他方式）。14 在这个意义上，“去中心化”声明的准确性各不相同。有时，该术语的使用更多地反映营销而非现实。声称的DeFi服务在现实中究竟在多大程度上实现了去中心化，是一个需要根据事实和情况来判断的问题。本评估讨论那些声称或通常被称为“去中心化”或“DeFi”的服务、平台、安排和产品，以评估与DeFi相关的全部风险。</w:t>
      </w:r>
    </w:p>
    <w:p>
      <w:pPr>
        <w:pStyle w:val="正文内容"/>
        <w:spacing w:before="0" w:after="0" w:line="240" w:lineRule="auto"/>
        <w:ind w:left="0" w:right="0" w:firstLine="560"/>
        <w:jc w:val="both"/>
      </w:pPr>
      <w:r>
        <w:rPr>
          <w:rFonts w:ascii="Times New Roman" w:hAnsi="Times New Roman" w:cs="Times New Roman" w:eastAsia="仿宋"/>
          <w:b w:val="0"/>
          <w:sz w:val="28"/>
        </w:rPr>
        <w:t>此外，本评估使用广义术语“DeFi服务”来涵盖各种活动的提供者，包括行业广泛使用的术语，如平台、交易所、应用程序、组织等。本评估也不评估去中心化相对于中心化的相对优点。如上所述，去中心化的声称可能被夸大，且DeFi服务的去中心化程度可能随时间而改变。13 DAO可被描述为一种旨在部分根据一套编码和透明的规则或智能合约运作的管理系统。14 财政部，《应对数字资产非法金融风险行动计划》，（2022年9月），https://home.treasury.gov/system/files/136/Digital-Asset-Action-Plan.pdf，第7页。</w:t>
      </w:r>
    </w:p>
    <w:p>
      <w:pPr>
        <w:pStyle w:val="正文内容"/>
        <w:spacing w:before="0" w:after="0" w:line="240" w:lineRule="auto"/>
        <w:ind w:left="0" w:right="0" w:firstLine="560"/>
        <w:jc w:val="both"/>
      </w:pPr>
      <w:r>
        <w:rPr>
          <w:rFonts w:ascii="Times New Roman" w:hAnsi="Times New Roman" w:cs="Times New Roman" w:eastAsia="仿宋"/>
          <w:b w:val="0"/>
          <w:sz w:val="28"/>
        </w:rPr>
        <w:t>两个非托管钱包15 持有者之间不涉及智能合约或虚拟资产服务提供商（VASP，Virtual Asset Service Provider）16 促成转账的资金转移，不属于本报告所指的DeFi服务范围。17 本评估不改变任何现有法律义务，不发布任何新的监管解释，也不建立任何新的监管期望。本报告使用的术语旨在反映行业和市场参与者常用的含义，并酌情进行修改和澄清。本评估中讨论的所有定义仅适用于评估本身的范围，仅旨在帮助理解DeFi服务及随之而来的非法金融风险。</w:t>
      </w:r>
    </w:p>
    <w:p>
      <w:pPr>
        <w:pStyle w:val="正文内容"/>
        <w:spacing w:before="0" w:after="0" w:line="240" w:lineRule="auto"/>
        <w:ind w:left="0" w:right="0" w:firstLine="560"/>
        <w:jc w:val="both"/>
      </w:pPr>
      <w:r>
        <w:rPr>
          <w:rFonts w:ascii="Times New Roman" w:hAnsi="Times New Roman" w:cs="Times New Roman" w:eastAsia="仿宋"/>
          <w:b w:val="0"/>
          <w:sz w:val="28"/>
        </w:rPr>
        <w:t>DeFi服务与反洗钱/反恐怖融资（AML/CFT）监管义务 美国的AML/CFT义务基于个人从事的活动。《银行保密法》（BSA，Bank Secrecy Act）及其实施条例规定，“金融机构”——如银行、经纪自营商、共同基金、货币服务企业（MSB，Money Services Business）、期货佣金商（FCM，Futures Commission Merchant）和介绍经纪商——负有AML/CFT义务。18 这些AML/CFT义务包括建立并实施有效的反洗钱计划（AML Program）19 以及记录保存和报告要求，包括可疑活动报告（SAR，Suspicious Activity Report）要求。20</w:t>
      </w:r>
    </w:p>
    <w:p>
      <w:pPr>
        <w:pStyle w:val="正文内容"/>
        <w:spacing w:before="0" w:after="0" w:line="240" w:lineRule="auto"/>
        <w:ind w:left="0" w:right="0" w:firstLine="560"/>
        <w:jc w:val="both"/>
      </w:pPr>
      <w:r>
        <w:rPr>
          <w:rFonts w:ascii="Times New Roman" w:hAnsi="Times New Roman" w:cs="Times New Roman" w:eastAsia="仿宋"/>
          <w:b w:val="0"/>
          <w:sz w:val="28"/>
        </w:rPr>
        <w:t>15 许多虚拟资产可以自行托管并在没有中介金融机构参与的情况下转移。不使用任何金融机构或其他虚拟资产服务提供商（VASP）托管的钱包通常被称为“非托管”或“自托管”钱包。非托管钱包的用户可以保留托管权，并在没有金融机构参与的情况下转移其虚拟资产。16 根据FATF的定义，虚拟资产服务提供商（通常简称为VASP）是指任何在FATF建议中未被其他条款涵盖、且作为业务为另一自然人或法人进行或代表其进行以下一项或多项活动或操作的自然人或法人：(i) 虚拟资产与法定货币之间的兑换；(ii) 一种或多种形式虚拟资产之间的兑换；(iii) 虚拟资产的转移；(iv) 虚拟资产或能够控制虚拟资产的工具的保管和/或管理；(v) 参与和提供与发行人发售和/或出售虚拟资产相关的金融服务。美国的VASP符合货币服务企业（MSB）的资格，部分提供虚拟资产服务的企业可能需要根据其提供的服务向联邦职能监管机构注册。17 直接点对点（P2P）转移不包括涉及P2P服务提供商的转移，P2P服务提供商通常是从事买卖虚拟资产业务而非保管虚拟资产或代表自身进行P2P转移的自然人。</w:t>
      </w:r>
    </w:p>
    <w:p>
      <w:pPr>
        <w:pStyle w:val="正文内容"/>
        <w:spacing w:before="0" w:after="0" w:line="240" w:lineRule="auto"/>
        <w:ind w:left="0" w:right="0" w:firstLine="560"/>
        <w:jc w:val="both"/>
      </w:pPr>
      <w:r>
        <w:rPr>
          <w:rFonts w:ascii="Times New Roman" w:hAnsi="Times New Roman" w:cs="Times New Roman" w:eastAsia="仿宋"/>
          <w:b w:val="0"/>
          <w:sz w:val="28"/>
        </w:rPr>
        <w:t>点对点服务提供商可能因其具体商业模式而承担监管要求；财政部，《应对数字资产非法融资风险行动计划》，（2022年9月），https://home.treasury.gov/system/files/136/Digital-Asset-Action-Plan.pdf，第6页。18 31 U.S.C. § 5312(a)(2)；31 C.F.R. § 1010.100(t)。19 参见31 C.F.R. § 1020.210（银行）；31 C.F.R. § 1021.210（赌场和卡牌俱乐部）；31 C.F.R. § 1022.210（货币服务企业）；31 C.F.R. § 1023.210（证券经纪商或交易商）；31 C.F.R. § 1024.210（共同基金）；31 C.F.R. § 1026.210（期货佣金商和商品期货介绍经纪人）。反洗钱计划必须至少包括：(a) 旨在合理实现遵守《银行保密法》及其执行条例的政策、程序和内部控制；(b) 独立的合规性测试；(c) 指定负责实施和监控运营与内部控制的人员；以及(d) 对相关人员的持续培训。某些金融机构的规则还涉及反洗钱计划的额外要素，例如进行持续客户尽职调查的适当风险基础程序。20 参见31 C.F.R. § 1020.320（银行）；31 C.F.R. § 1021.320（赌场和卡牌俱乐部）；31 C.F.R. § 1022.320（货币服务企业）；31 C.F.R. § 1023.320（证券经纪商或交易商）；31 C.F.R. § 1024.320（共同基金）；31 C.F.R. § 1026.320（期货佣金商和商品期货介绍经纪人）。如果交易由金融机构进行或试图进行，且金额超过特定阈值，则必须报告可疑交易。</w:t>
      </w:r>
    </w:p>
    <w:p>
      <w:pPr>
        <w:pStyle w:val="正文内容"/>
        <w:spacing w:before="0" w:after="0" w:line="240" w:lineRule="auto"/>
        <w:ind w:left="0" w:right="0" w:firstLine="560"/>
        <w:jc w:val="both"/>
      </w:pPr>
      <w:r>
        <w:rPr>
          <w:rFonts w:ascii="Times New Roman" w:hAnsi="Times New Roman" w:cs="Times New Roman" w:eastAsia="仿宋"/>
          <w:b w:val="0"/>
          <w:sz w:val="28"/>
        </w:rPr>
        <w:t>7 去中心化金融非法融资风险评估。个人从事的活动性质是决定其是否以及在何种程度上必须向商品期货交易委员会（CFTC，针对期货佣金商和介绍经纪人）、金融犯罪执法网络（FinCEN，针对货币服务企业）或证券交易委员会（SEC，针对经纪交易商和共同基金）注册的关键因素。尽管个人中心化程度可能影响其提供的服务，但从事《银行保密法》所定义的金融机构活动的个人，无论其中心化与否，都将承担这些义务。例如，如果某DeFi服务全部或主要在美国开展业务，并以任何方式接受和传输虚拟资产从一个人到另一个人或地点，则其很可能符合货币传输者的定义，并承担与提供法定货币服务的货币传输者相同的反洗钱/反恐融资义务。21 只要该服务符合此定义，其去中心化程度对这些义务没有影响。</w:t>
      </w:r>
    </w:p>
    <w:p>
      <w:pPr>
        <w:pStyle w:val="正文内容"/>
        <w:spacing w:before="0" w:after="0" w:line="240" w:lineRule="auto"/>
        <w:ind w:left="0" w:right="0" w:firstLine="560"/>
        <w:jc w:val="both"/>
      </w:pPr>
      <w:r>
        <w:rPr>
          <w:rFonts w:ascii="Times New Roman" w:hAnsi="Times New Roman" w:cs="Times New Roman" w:eastAsia="仿宋"/>
          <w:b w:val="0"/>
          <w:sz w:val="28"/>
        </w:rPr>
        <w:t>行业声称该领域缺乏足够的监管清晰度。行业经常表示，在何种资产符合证券定义、必须向哪个监管机构注册，以及其DeFi服务是否符合《银行保密法》或其他监管框架下金融机构的定义等方面缺乏明确性。行业还公开要求财政部进一步明确，在何种情况下部署软件会成为《银行保密法》下的涵盖活动。CFTC、FinCEN和SEC质疑缺乏监管清晰度的说法，指出其过去十年发布的指导意见22，以及就CFTC和SEC而言，针对未遵守监管义务的所谓DeFi服务采取的执法行动。23 通过公开声明、指导意见和执法行动，这些机构已明确表示，通过智能合约或计算机代码自动化某些功能并不影响提供涵盖服务的金融机构的义务。24</w:t>
      </w:r>
    </w:p>
    <w:p>
      <w:pPr>
        <w:pStyle w:val="正文内容"/>
        <w:spacing w:before="0" w:after="0" w:line="240" w:lineRule="auto"/>
        <w:ind w:left="0" w:right="0" w:firstLine="560"/>
        <w:jc w:val="both"/>
      </w:pPr>
      <w:r>
        <w:rPr>
          <w:rFonts w:ascii="Times New Roman" w:hAnsi="Times New Roman" w:cs="Times New Roman" w:eastAsia="仿宋"/>
          <w:b w:val="0"/>
          <w:sz w:val="28"/>
        </w:rPr>
        <w:t>此外，作为美国人的DeFi服务，如同所有其他美国人（无论位于何处），必须遵守由财政部外国资产控制办公室（OFAC）管理和执行的经济制裁项目，而非美国人在某些情况下也承担OFAC制裁合规义务。无论交易是以虚拟资产还是传统法定货币计价，制裁合规义务都是相同的。25 此外，21 参见31 C.F.R. 1010.100(ff)(5)(i)。当DeFi服务执行货币传输时，货币传输者的定义将适用于DeFi服务、其所有者/运营者或两者。FinCEN，《FinCEN指导意见》，（2019年5月9日），https://www.fincen.gov/sites/default/files/2019-05/FinCEN%20Guidance%20CVC%20FINAL%20508.pdf，第18页。22 参见，例如，SEC，《创新与金融技术战略中心》，https://www.sec.gov/finhub；SEC，《加密资产》，https://www.investor.gov/additional-resources/spotlight/crypto-assets；FinCEN，《FinCEN指导意见》，（2019年5月9日），https://www.fincen.gov/sites/default/files/2019-05/FinCEN%20Guidance%20CVC%20FINAL%20508.pdf；SEC，《CFTC、FinCEN和SEC负责人就涉及数字资产的活动发表联合声明》，（2019年10月11日），https://www.sec.gov/news/public-statement/cftc-fincen-secjointstatementdigitalassets；FinCEN，《FinCEN条例对管理、交换或使用虚拟货币的人员的适用》，（2013年3月18日），https://www.fincen.gov/sites/default/files/shared/FIN-2013-G001.pdf。23 SEC，《加密资产与网络执法行动》，https://www.sec.gov/spotlight/cybersecurity-enforcement-actions。24 参见，例如，SEC，《SEC发布调查报告，认定DAO代币（一种数字资产）为证券》，（2017年7月25日），https://www.sec.gov/news/press-release/2017-131。25 OFAC，《常见问题：关于虚拟货币的问题：560》，https://home.treasury.gov/policy-issues/financial-sanctions/faqs/560。</w:t>
      </w:r>
    </w:p>
    <w:p>
      <w:pPr>
        <w:pStyle w:val="正文内容"/>
        <w:spacing w:before="0" w:after="0" w:line="240" w:lineRule="auto"/>
        <w:ind w:left="0" w:right="0" w:firstLine="560"/>
        <w:jc w:val="both"/>
      </w:pPr>
      <w:r>
        <w:rPr>
          <w:rFonts w:ascii="Times New Roman" w:hAnsi="Times New Roman" w:cs="Times New Roman" w:eastAsia="仿宋"/>
          <w:b w:val="0"/>
          <w:sz w:val="28"/>
        </w:rPr>
        <w:t>8 去中心化金融非法融资风险评估。2021年，OFAC发布了《虚拟货币行业制裁合规指导意见》，26 概述了制裁合规义务、报告要求和最佳实践。随后，OFAC发布了几项与制裁合规义务和虚拟资产相关的常见问题解答。27 市场概述 DeFi的构建模块。在DeFi中，金融产品和服务通常使用智能合约，并涉及相互交互的多层技术。为本报告之目的，DeFi技术呈现为四个“层级”：结算层——区块链，包括第1层28和第2层29解决方案，其中维护区块链的共识状态，即交易记录之处，参与者和智能合约拥有可持有虚拟资产并与其他参与者和智能合约交互的地址。资产层——DeFi服务中使用的虚拟资产（币和代币），包括原生代币。协议层——部署到区块链并在其上执行的代码，包括智能合约；这还可能包括辅助软件。应用层——前端用户界面、应用程序编程接口（API）以及其他允许参与者与智能合约交互的代码，主要托管在链下。30</w:t>
      </w:r>
    </w:p>
    <w:p>
      <w:pPr>
        <w:pStyle w:val="正文内容"/>
        <w:spacing w:before="0" w:after="0" w:line="240" w:lineRule="auto"/>
        <w:ind w:left="0" w:right="0" w:firstLine="560"/>
        <w:jc w:val="both"/>
      </w:pPr>
      <w:r>
        <w:rPr>
          <w:rFonts w:ascii="Times New Roman" w:hAnsi="Times New Roman" w:cs="Times New Roman" w:eastAsia="仿宋"/>
          <w:b w:val="0"/>
          <w:sz w:val="28"/>
        </w:rPr>
        <w:t>市场参与者及其运作方式。DeFi服务通常为客户提供与传统金融机构相同的服务和产品，例如借贷、购买或交易虚拟资产，包括作为金融产品（如证券、商品、衍生品或其他（例如保险））发挥功能的资产。然而，虚拟资产生态系统特有的服务，例如混币器（其功能是混淆虚拟资产交易的来源、目的地或涉及金额）和跨链桥（允许用户将虚拟资产或信息从一个区块链交换到另一个区块链），也可能声称是去中心化的。26 财政部，《虚拟货币行业制裁合规指导意见》，（2021年10月），https://home.treasury.gov/system/files/126/virtual_currency_guidance_brochure.pdf。</w:t>
      </w:r>
    </w:p>
    <w:p>
      <w:pPr>
        <w:pStyle w:val="正文内容"/>
        <w:spacing w:before="0" w:after="0" w:line="240" w:lineRule="auto"/>
        <w:ind w:left="0" w:right="0" w:firstLine="560"/>
        <w:jc w:val="both"/>
      </w:pPr>
      <w:r>
        <w:rPr>
          <w:rFonts w:ascii="Times New Roman" w:hAnsi="Times New Roman" w:cs="Times New Roman" w:eastAsia="仿宋"/>
          <w:b w:val="0"/>
          <w:sz w:val="28"/>
        </w:rPr>
        <w:t>据估计，有数千个实体提供DeFi服务，但只有少数拥有显著的用户活动31或已在监管机构注册。一个经常被引用的数据聚合器报告称，截至2022年12月19日，它追踪全球超过2000个DeFi服务，其报告的“总锁仓价值”（Total Value Locked，TVL）32合计为397.7亿美元33。TVL是行业报告的指标，指用户存入或“锁定”在DeFi服务中的资金量，用于衡量DeFi市场规模或用户接受程度。该指标未经审计或验证，可能重复计算资金，因此不可靠（参见IMF报告）。</w:t>
      </w:r>
    </w:p>
    <w:p>
      <w:pPr>
        <w:pStyle w:val="正文内容"/>
        <w:spacing w:before="0" w:after="0" w:line="240" w:lineRule="auto"/>
        <w:ind w:left="0" w:right="0" w:firstLine="560"/>
        <w:jc w:val="both"/>
      </w:pPr>
      <w:r>
        <w:rPr>
          <w:rFonts w:ascii="Times New Roman" w:hAnsi="Times New Roman" w:cs="Times New Roman" w:eastAsia="仿宋"/>
          <w:b w:val="0"/>
          <w:sz w:val="28"/>
        </w:rPr>
        <w:t>最突出的DeFi服务类别是促进虚拟资产交易的服务，通常称为去中心化交易所（Decentralized Exchanges，DEXs）34。据报道，截至2022年12月19日，有649个独立的DEX在运营，报告TVL合计158.5亿美元35。继DEX之后，借贷类DeFi服务的TVL最大，为108.5亿美元，分布在197个不同服务中；还有约60个协议向用户支付质押36虚拟资产的奖励——即所谓“收益协议”——报告TVL超过86.6亿美元37。其余服务包括跨链桥、流动性质押和算法稳定币等，下表将解释大部分内容。</w:t>
      </w:r>
    </w:p>
    <w:p>
      <w:pPr>
        <w:pStyle w:val="正文内容"/>
        <w:spacing w:before="0" w:after="0" w:line="240" w:lineRule="auto"/>
        <w:ind w:left="0" w:right="0" w:firstLine="560"/>
        <w:jc w:val="both"/>
      </w:pPr>
      <w:r>
        <w:rPr>
          <w:rFonts w:ascii="Times New Roman" w:hAnsi="Times New Roman" w:cs="Times New Roman" w:eastAsia="仿宋"/>
          <w:b w:val="0"/>
          <w:sz w:val="28"/>
        </w:rPr>
        <w:t>虽然这些统计数据显示DeFi服务是虚拟资产生态系统的重要组成部分，但它们仅占虚拟资产市场总活动的一小部分。根据另一数据聚合商，2023年1月初虚拟资产总活动的24小时交易量为297亿美元，其中DEX仅占3%38。本评估中“交易所”一词的使用不代表此类平台已注册或具有任何法律地位，该定义仅用于风险评估，不应被解释为《银行保密法》或其他相关监管制度下的监管定义。</w:t>
      </w:r>
    </w:p>
    <w:p>
      <w:pPr>
        <w:pStyle w:val="正文内容"/>
        <w:spacing w:before="0" w:after="0" w:line="240" w:lineRule="auto"/>
        <w:ind w:left="0" w:right="0" w:firstLine="560"/>
        <w:jc w:val="both"/>
      </w:pPr>
      <w:r>
        <w:rPr>
          <w:rFonts w:ascii="Times New Roman" w:hAnsi="Times New Roman" w:cs="Times New Roman" w:eastAsia="仿宋"/>
          <w:b w:val="0"/>
          <w:sz w:val="28"/>
        </w:rPr>
        <w:t>DeFi服务的主要类型及其提供的服务如下图所示。表1：交易——DEXs：通过订单簿或流动性池促进虚拟资产交换；接受存款进入流动性池，并支付应计利息或其他费用39。借贷——借贷DeFi服务：允许虚拟资产持有者通过将资产存入池中赚取固定或可变回报，同时允许其他参与者借入这些资产用于其他金融活动40。一些服务还提供“质押即服务”，即接受并质押虚拟资产以参与权益证明共识机制；或提供“流动性质押”，即接受并质押虚拟资产，通常发行“流动性质押衍生品”虚拟资产作为交换，用户获得部分质押奖励或交易费。</w:t>
      </w:r>
    </w:p>
    <w:p>
      <w:pPr>
        <w:pStyle w:val="正文内容"/>
        <w:spacing w:before="0" w:after="0" w:line="240" w:lineRule="auto"/>
        <w:ind w:left="0" w:right="0" w:firstLine="560"/>
        <w:jc w:val="both"/>
      </w:pPr>
      <w:r>
        <w:rPr>
          <w:rFonts w:ascii="Times New Roman" w:hAnsi="Times New Roman" w:cs="Times New Roman" w:eastAsia="仿宋"/>
          <w:b w:val="0"/>
          <w:sz w:val="28"/>
        </w:rPr>
        <w:t>跨链桥：通过允许用户将虚拟资产或信息从一个区块链交换到另一个区块链，促进网络互操作性。去中心化混币器：功能上混淆虚拟资产交易的来源、目的地或金额；此类服务可能涉及中心化或去中心化机制，并使用多种技术实现41。聚合器：查询一系列DeFi服务，为用户整理最佳交易或其他活动条款，通常可在单一用户界面中查看；一些聚合器可路由交易以满足所需参数42。预言机：将智能合约连接到“链下”数据，如股票价格或链下抵押品价值，这些数据可能作为智能合约功能的输入43。算法稳定币协议：声称通过提供根据需求变化增加或减少稳定币供应的协议来维持稳定价值44。</w:t>
      </w:r>
    </w:p>
    <w:p>
      <w:pPr>
        <w:pStyle w:val="正文内容"/>
        <w:spacing w:before="0" w:after="0" w:line="240" w:lineRule="auto"/>
        <w:ind w:left="0" w:right="0" w:firstLine="560"/>
        <w:jc w:val="both"/>
      </w:pPr>
      <w:r>
        <w:rPr>
          <w:rFonts w:ascii="Times New Roman" w:hAnsi="Times New Roman" w:cs="Times New Roman" w:eastAsia="仿宋"/>
          <w:b w:val="0"/>
          <w:sz w:val="28"/>
        </w:rPr>
        <w:t>在DeFi服务中，上述活动通常由流动性池实现：用户将资产汇集并锁定在服务的智能合约45中，DeFi服务可从中获取虚拟资产用于交易、借贷等金融服务。以DEX为例，流动性池由参与者提供资金，他们可能因获得DEX收取的部分费用而受到激励。流动性提供者可能从服务中获得单独的虚拟资产作为锁定资产的交换，通常称为“流动性提供者代币”（Liquidity Provider Token，LP Token），该代币赋予其池中份额（包括应计费用）的所有权46。其他用户通过DEX访问流动性池，即可用一种虚拟资产交换一定数量的另一种虚拟资产。在这类DEX中，代币之间的汇率通常由算法设定47。用户通常需支付使用服务的费用，该费用与LP代币持有者共享。类似地，在流动性质押中，用户将虚拟资产质押给DeFi服务，并收到一个单独的虚拟资产作为回报，该资产代表质押的虚拟资产及质押服务验证区块链交易产生的任何应计费用。</w:t>
      </w:r>
    </w:p>
    <w:p>
      <w:pPr>
        <w:pStyle w:val="正文内容"/>
        <w:spacing w:before="0" w:after="0" w:line="240" w:lineRule="auto"/>
        <w:ind w:left="0" w:right="0" w:firstLine="560"/>
        <w:jc w:val="both"/>
      </w:pPr>
      <w:r>
        <w:rPr>
          <w:rFonts w:ascii="Times New Roman" w:hAnsi="Times New Roman" w:cs="Times New Roman" w:eastAsia="仿宋"/>
          <w:b w:val="0"/>
          <w:sz w:val="28"/>
        </w:rPr>
        <w:t>一、由于LP代币和代表质押资产的虚拟资产可以在不同主体之间交换，因此最初质押资产的用户以外的其他人有可能用LP代币或其他代币赎回最初锁定在流动性池中的资产。用户可能出于多种原因选择通过DeFi服务而非中心化交易所进行交易。DEX可能声称提供某些效率，例如方便访问其他DeFi服务、获取多种虚拟资产或套利机会，尽管在某些情况下，它们之所以能够做到这一点，可能只是因为未遵守适用的法律法规，包括美国反洗钱/反恐融资（AML/CFT）义务和制裁法规。例如，在使用DEX时，用户通常无需提供个人信息，而许多已建立AML/CFT和制裁合规计划的中心化交易所通常要求提供这些信息。</w:t>
      </w:r>
    </w:p>
    <w:p>
      <w:pPr>
        <w:pStyle w:val="正文内容"/>
        <w:spacing w:before="0" w:after="0" w:line="240" w:lineRule="auto"/>
        <w:ind w:left="0" w:right="0" w:firstLine="560"/>
        <w:jc w:val="both"/>
      </w:pPr>
      <w:r>
        <w:rPr>
          <w:rFonts w:ascii="Times New Roman" w:hAnsi="Times New Roman" w:cs="Times New Roman" w:eastAsia="仿宋"/>
          <w:b w:val="0"/>
          <w:sz w:val="28"/>
        </w:rPr>
        <w:t>二、其他DeFi服务用户表示，他们重视在公共区块链上运营的DeFi服务的透明度，理由是能够查看和确认交易，并且在许多情况下能够查看DeFi服务的源代码。中心化要素：尽管许多服务声称“完全去中心化”，但实际上，在完全“中心化”和完全“去中心化”服务之间存在广泛的活动谱系。服务处于该谱系中的位置可能受多种因素影响，包括DeFi服务的治理结构、服务的接入点以及服务所基于的结算层。此外，DeFi服务可能在其发展过程中寻求变得更加去中心化；例如，DeFi服务通常以中心化项目起步，意图随着时间的推移变得更加去中心化，反之亦然。</w:t>
      </w:r>
    </w:p>
    <w:p>
      <w:pPr>
        <w:pStyle w:val="正文内容"/>
        <w:spacing w:before="0" w:after="0" w:line="240" w:lineRule="auto"/>
        <w:ind w:left="0" w:right="0" w:firstLine="560"/>
        <w:jc w:val="both"/>
      </w:pPr>
      <w:r>
        <w:rPr>
          <w:rFonts w:ascii="Times New Roman" w:hAnsi="Times New Roman" w:cs="Times New Roman" w:eastAsia="仿宋"/>
          <w:b w:val="0"/>
          <w:sz w:val="28"/>
        </w:rPr>
        <w:t>三、如以下第2.5节关于托管的讨论所述，当用户将资产锁定在智能合约中时，他们将这些资产的管理权移交给智能合约，而智能合约代码规定了资产如何进行交易。与先前美国政府报告一致，本风险评估发现，DeFi服务在许多情况下名义上比实际上更去中心化。尽管如此，对于以不透明组织结构开发的DeFi服务，识别负责该DeFi服务的自然人或法人可能更具挑战性。治理：许多DeFi服务声称不依赖正式的中心化治理结构，其组织者通常声称自主运营。然而，在实践中，许多DeFi服务仍然具有治理结构（例如，管理功能、修复代码问题或在某种程度上更改智能合约的功能）。</w:t>
      </w:r>
    </w:p>
    <w:p>
      <w:pPr>
        <w:pStyle w:val="正文内容"/>
        <w:spacing w:before="0" w:after="0" w:line="240" w:lineRule="auto"/>
        <w:ind w:left="0" w:right="0" w:firstLine="560"/>
        <w:jc w:val="both"/>
      </w:pPr>
      <w:r>
        <w:rPr>
          <w:rFonts w:ascii="Times New Roman" w:hAnsi="Times New Roman" w:cs="Times New Roman" w:eastAsia="仿宋"/>
          <w:b w:val="0"/>
          <w:sz w:val="28"/>
        </w:rPr>
        <w:t>四、在某些情况下，DeFi服务的所有者或运营者保留管理密钥（administrative key），根据合约的编写方式，持有者可能能够更改或禁用DeFi服务的智能合约。在其他情况下，治理据称由去中心化自治组织（DAO）管理，DAO可被描述为一种管理系统的，旨在部分根据一套编码且透明的规则或智能合约进行运作。DAO参与者通常声称DAO中没有中央权威，治理分布在参与者之间。DAO的治理代币（governance token）以及一般的DeFi治理（或投票）代币，据称允许不同的参与者提出和投票决定区块链或协议功能的提案。</w:t>
      </w:r>
    </w:p>
    <w:p>
      <w:pPr>
        <w:pStyle w:val="正文内容"/>
        <w:spacing w:before="0" w:after="0" w:line="240" w:lineRule="auto"/>
        <w:ind w:left="0" w:right="0" w:firstLine="560"/>
        <w:jc w:val="both"/>
      </w:pPr>
      <w:r>
        <w:rPr>
          <w:rFonts w:ascii="Times New Roman" w:hAnsi="Times New Roman" w:cs="Times New Roman" w:eastAsia="仿宋"/>
          <w:b w:val="0"/>
          <w:sz w:val="28"/>
        </w:rPr>
        <w:t>五、治理代币通常可在DEX或中心化交易所上交易，以换取法定货币或其他数字资产。治理代币持有者的权力和权限因DeFi服务而异。例如，在某些情况下，治理代币持有者可能被允许投票更改DeFi服务的智能合约，而在其他情况下，投票则较为有限，例如只能就代币持有者提出或投票决策的流程或LP代币持有者产生的费用数额进行投票。治理代币持有者提出决策并投票的流程也可能不同。对于某些DeFi服务，所有治理代币持有者可能被允许对提案进行投票，但只有持有特定比例代币的代币持有者才能提交提案进行投票。</w:t>
      </w:r>
    </w:p>
    <w:p>
      <w:pPr>
        <w:pStyle w:val="正文内容"/>
        <w:spacing w:before="0" w:after="0" w:line="240" w:lineRule="auto"/>
        <w:ind w:left="0" w:right="0" w:firstLine="560"/>
        <w:jc w:val="both"/>
      </w:pPr>
      <w:r>
        <w:rPr>
          <w:rFonts w:ascii="Times New Roman" w:hAnsi="Times New Roman" w:cs="Times New Roman" w:eastAsia="仿宋"/>
          <w:b w:val="0"/>
          <w:sz w:val="28"/>
        </w:rPr>
        <w:t>六、构成决策通过的投票百分比以及决策执行的方式也因DeFi服务而异。在某些情况下，经投票通过的决定由智能合约自动执行，而在其他情况下，由拥有管理密钥的所有者或运营者执行决策。此外，治理代币和投票权的分布与集中度表明了对去中心化应用程序的控制。在某些服务中，治理代币或投票权可能集中在少数参与者手中。DeFi服务的开发者和早期投资者可能通过将大量治理代币分配给自己或以其他方式维持事实上的控制来保持对服务的控制。</w:t>
      </w:r>
    </w:p>
    <w:p>
      <w:pPr>
        <w:pStyle w:val="正文内容"/>
        <w:spacing w:before="0" w:after="0" w:line="240" w:lineRule="auto"/>
        <w:ind w:left="0" w:right="0" w:firstLine="560"/>
        <w:jc w:val="both"/>
      </w:pPr>
      <w:r>
        <w:rPr>
          <w:rFonts w:ascii="Times New Roman" w:hAnsi="Times New Roman" w:cs="Times New Roman" w:eastAsia="仿宋"/>
          <w:b w:val="0"/>
          <w:sz w:val="28"/>
        </w:rPr>
        <w:t>七、DeFi服务内部影响力的集中也可能源于治理代币持有者的低投票参与度，从而赋予确实参与投票的少数代币持有者过大的投票权。另外，一些服务允许将与治理代币相关的投票权委托给其他人（称为委托人），而代币持有者保留代币的经济利益。在某些情况下，委托人积累了与大量治理代币相关的重要投票权，这种模式可能导致相对少数委托人持有DeFi服务的大部分投票权。在这一框架内，使用治理代币并不等同于服务决策中的去中心化，许多治理代币的投票权所有权可能高度集中。因此，在许多情况下，即使治理结构声称去中心化，少数人仍可能行使高度控制权。</w:t>
      </w:r>
    </w:p>
    <w:p>
      <w:pPr>
        <w:pStyle w:val="正文内容"/>
        <w:spacing w:before="0" w:after="0" w:line="240" w:lineRule="auto"/>
        <w:ind w:left="0" w:right="0" w:firstLine="560"/>
        <w:jc w:val="both"/>
      </w:pPr>
      <w:r>
        <w:rPr>
          <w:rFonts w:ascii="Times New Roman" w:hAnsi="Times New Roman" w:cs="Times New Roman" w:eastAsia="仿宋"/>
          <w:b w:val="0"/>
          <w:sz w:val="28"/>
        </w:rPr>
        <w:t>八、2016年4月部署的风险投资基金“The DAO”的案例表明，使用DAO和感知的投票权分布并不一定与去中心化决策相关，并且尽管声称去中心化，仍可能受到监管义务的约束。在该案例中，部署The DAO的核心团队选择了“管理人”（Curators），他们在投票前审查提案，对是否将提案提交给DAO代币持有者拥有最终决定权，并且可以对投票流程进行更改。核心团队还声称将向The DAO提交第一项提案。鉴于这些及其他显著事实，美国证券交易委员会（SEC）认定The DAO的投资者依赖核心团队和管理人的管理和创业努力来管理The DAO并提出可能为投资者带来利润的项目提案。该案的事实和情况支持了SEC的认定，即DAO代币是证券，The DAO是证券发行者，需要注册DAO代币的要约和销售。</w:t>
      </w:r>
    </w:p>
    <w:p>
      <w:pPr>
        <w:pStyle w:val="信息来源"/>
        <w:spacing w:before="50" w:after="100" w:line="240" w:lineRule="auto"/>
        <w:ind w:left="0" w:right="0" w:firstLine="0"/>
        <w:jc w:val="right"/>
      </w:pPr>
      <w:r>
        <w:rPr>
          <w:rFonts w:ascii="Times New Roman" w:hAnsi="Times New Roman" w:cs="Times New Roman" w:eastAsia="仿宋"/>
          <w:b w:val="0"/>
          <w:sz w:val="21"/>
        </w:rPr>
        <w:t>（信息来源：Galaxy Research）</w:t>
      </w:r>
    </w:p>
    <w:p>
      <w:pPr>
        <w:pStyle w:val="原文信息"/>
        <w:spacing w:before="0" w:after="0" w:line="240" w:lineRule="auto"/>
        <w:ind w:left="0" w:right="0" w:firstLine="0"/>
        <w:jc w:val="left"/>
      </w:pPr>
      <w:r>
        <w:rPr>
          <w:rFonts w:ascii="Times New Roman" w:hAnsi="Times New Roman" w:cs="Times New Roman" w:eastAsia="仿宋"/>
          <w:b w:val="0"/>
          <w:sz w:val="18"/>
        </w:rPr>
        <w:t>原文标题：Research â¢ September 18， 2025 Cheat Sheet： The Presidentâs Working Group on Digital Asset Markets Report Cryptocurrency DeFi Regulation Stablecoins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原文链接：https://home.treasury.gov/system/files/136/DeFi-Risk-Full-Review.pdf</w:t>
      </w:r>
    </w:p>
    <w:p>
      <w:pPr>
        <w:pStyle w:val="原文信息"/>
        <w:spacing w:before="0" w:after="0" w:line="240" w:lineRule="auto"/>
        <w:ind w:left="0" w:right="0" w:firstLine="0"/>
        <w:jc w:val="left"/>
      </w:pPr>
      <w:r>
        <w:rPr>
          <w:rFonts w:ascii="Times New Roman" w:hAnsi="Times New Roman" w:cs="Times New Roman" w:eastAsia="仿宋"/>
          <w:b w:val="0"/>
          <w:sz w:val="18"/>
        </w:rPr>
        <w:t>PDF文件：reports/2026/research_sources/20260605/Galaxy_Research_Research_September_18_2025_Cheat_Sheet_The_President_s_Working_Group_on_Digital_Asset_Markets_Report_Cryptocurrency_DeFi_c19f3b97.pdf</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专题研究_20260605</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