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共和党议员计划将预测市场纳入国会股票禁令法案</w:t>
      </w:r>
    </w:p>
    <w:p>
      <w:pPr>
        <w:pStyle w:val="ListParagraph"/>
        <w:spacing w:before="0" w:after="0" w:line="360" w:lineRule="auto"/>
        <w:ind w:left="0" w:firstLine="0"/>
      </w:pPr>
      <w:r>
        <w:rPr>
          <w:rFonts w:ascii="Times New Roman" w:hAnsi="Times New Roman" w:cs="Times New Roman" w:eastAsia="楷体"/>
          <w:b w:val="0"/>
          <w:sz w:val="28"/>
        </w:rPr>
        <w:t>· 美国比特币储备以“深思熟虑的速度”推进Bessent</w:t>
      </w:r>
    </w:p>
    <w:p>
      <w:pPr>
        <w:pStyle w:val="ListParagraph"/>
        <w:spacing w:before="0" w:after="0" w:line="360" w:lineRule="auto"/>
        <w:ind w:left="0" w:firstLine="0"/>
      </w:pPr>
      <w:r>
        <w:rPr>
          <w:rFonts w:ascii="Times New Roman" w:hAnsi="Times New Roman" w:cs="Times New Roman" w:eastAsia="楷体"/>
          <w:b w:val="0"/>
          <w:sz w:val="28"/>
        </w:rPr>
        <w:t>· 摩根大通警告ClarityAct通过窗口收窄稳定币收益争议成关键障碍</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Visa与Brale测试SBC稳定币探索隐私保护的机构结算</w:t>
      </w:r>
    </w:p>
    <w:p>
      <w:pPr>
        <w:pStyle w:val="ListParagraph"/>
        <w:spacing w:before="0" w:after="0" w:line="360" w:lineRule="auto"/>
        <w:ind w:left="0" w:firstLine="0"/>
      </w:pPr>
      <w:r>
        <w:rPr>
          <w:rFonts w:ascii="Times New Roman" w:hAnsi="Times New Roman" w:cs="Times New Roman" w:eastAsia="楷体"/>
          <w:b w:val="0"/>
          <w:sz w:val="28"/>
        </w:rPr>
        <w:t>· Apex与Archax加入高盛代币化房地产基金GSDAP平台首次落地实物资产代币化</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币安入股Alpaca布局代币化股权赛道重塑传统证券上链格局</w:t>
      </w:r>
    </w:p>
    <w:p>
      <w:pPr>
        <w:pStyle w:val="ListParagraph"/>
        <w:spacing w:before="0" w:after="0" w:line="360" w:lineRule="auto"/>
        <w:ind w:left="0" w:firstLine="0"/>
      </w:pPr>
      <w:r>
        <w:rPr>
          <w:rFonts w:ascii="Times New Roman" w:hAnsi="Times New Roman" w:cs="Times New Roman" w:eastAsia="楷体"/>
          <w:b w:val="0"/>
          <w:sz w:val="28"/>
        </w:rPr>
        <w:t>· 比特币ETF连续13日净流出44亿美元比特币承压跌超20%</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“末日博士”合伙人警告比特币或暴跌70%但长期可达50万美元</w:t>
      </w:r>
    </w:p>
    <w:p>
      <w:pPr>
        <w:pStyle w:val="ListParagraph"/>
        <w:spacing w:before="0" w:after="0" w:line="360" w:lineRule="auto"/>
        <w:ind w:left="0" w:firstLine="0"/>
      </w:pPr>
      <w:r>
        <w:rPr>
          <w:rFonts w:ascii="Times New Roman" w:hAnsi="Times New Roman" w:cs="Times New Roman" w:eastAsia="楷体"/>
          <w:b w:val="0"/>
          <w:sz w:val="28"/>
        </w:rPr>
        <w:t>· 渣打银行比特币与市场底部之间的三个“如果”</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共和党议员计划将预测市场纳入国会股票禁令法案</w:t>
      </w:r>
    </w:p>
    <w:p>
      <w:pPr>
        <w:spacing w:before="0" w:after="0" w:line="240" w:lineRule="auto"/>
        <w:ind w:left="0" w:right="0" w:firstLine="0"/>
        <w:jc w:val="both"/>
      </w:pPr>
      <w:r>
        <w:rPr>
          <w:rFonts w:ascii="Times New Roman" w:hAnsi="Times New Roman" w:cs="Times New Roman" w:eastAsia="仿宋"/>
          <w:b w:val="0"/>
          <w:sz w:val="28"/>
        </w:rPr>
        <w:t>· 共和党议员Bryan Steil计划在国会股票禁令法案中加入针对Polymarket和Kalshi等预测市场的条款。</w:t>
      </w:r>
    </w:p>
    <w:p>
      <w:pPr>
        <w:spacing w:before="0" w:after="0" w:line="240" w:lineRule="auto"/>
        <w:ind w:left="0" w:right="0" w:firstLine="0"/>
        <w:jc w:val="both"/>
      </w:pPr>
      <w:r>
        <w:rPr>
          <w:rFonts w:ascii="Times New Roman" w:hAnsi="Times New Roman" w:cs="Times New Roman" w:eastAsia="仿宋"/>
          <w:b w:val="0"/>
          <w:sz w:val="28"/>
        </w:rPr>
        <w:t>· 该法案目前完全禁止议员及其家属购买新股票，违者面临罚款。</w:t>
      </w:r>
    </w:p>
    <w:p>
      <w:pPr>
        <w:spacing w:before="0" w:after="0" w:line="240" w:lineRule="auto"/>
        <w:ind w:left="0" w:right="0" w:firstLine="0"/>
        <w:jc w:val="both"/>
      </w:pPr>
      <w:r>
        <w:rPr>
          <w:rFonts w:ascii="Times New Roman" w:hAnsi="Times New Roman" w:cs="Times New Roman" w:eastAsia="仿宋"/>
          <w:b w:val="0"/>
          <w:sz w:val="28"/>
        </w:rPr>
        <w:t>· 此举紧随联邦对预测市场的打击，包括参议院禁止议员投注和众议院监督调查。</w:t>
      </w:r>
    </w:p>
    <w:p>
      <w:pPr>
        <w:pStyle w:val="正文内容"/>
        <w:spacing w:before="0" w:after="0" w:line="240" w:lineRule="auto"/>
        <w:ind w:left="0" w:right="0" w:firstLine="560"/>
        <w:jc w:val="both"/>
      </w:pPr>
      <w:r>
        <w:rPr>
          <w:rFonts w:ascii="Times New Roman" w:hAnsi="Times New Roman" w:cs="Times New Roman" w:eastAsia="仿宋"/>
          <w:b w:val="0"/>
          <w:sz w:val="28"/>
        </w:rPr>
        <w:t>共和党议员Bryan Steil（威斯康星州）计划在国会股票禁令法案中加入针对Polymarket和Kalshi等预测市场的条款。Steil在周四的圆桌会议上对记者表示，议员们计划在禁止内幕股票交易的法案中增加措辞，将预测市场平台纳入监管范围。他强调，与议员和公众的交流显示，没有人认为国会议员应该对选举或公共政策进行交易。</w:t>
      </w:r>
    </w:p>
    <w:p>
      <w:pPr>
        <w:pStyle w:val="正文内容"/>
        <w:spacing w:before="0" w:after="0" w:line="240" w:lineRule="auto"/>
        <w:ind w:left="0" w:right="0" w:firstLine="560"/>
        <w:jc w:val="both"/>
      </w:pPr>
      <w:r>
        <w:rPr>
          <w:rFonts w:ascii="Times New Roman" w:hAnsi="Times New Roman" w:cs="Times New Roman" w:eastAsia="仿宋"/>
          <w:b w:val="0"/>
          <w:sz w:val="28"/>
        </w:rPr>
        <w:t>该法案编号为H.R. 7008，旨在全面禁止议员、配偶及家属购买公开交易的股票，并要求在出售股票前至少七天提交公开披露的“出售意向”通知。违规者将面临2000美元或投资价值10%的罚款（取较高者），并没收所有已实现收益。法案于2月提交众议院，但最新版本未明确涵盖数字资产。</w:t>
      </w:r>
    </w:p>
    <w:p>
      <w:pPr>
        <w:pStyle w:val="正文内容"/>
        <w:spacing w:before="0" w:after="0" w:line="240" w:lineRule="auto"/>
        <w:ind w:left="0" w:right="0" w:firstLine="560"/>
        <w:jc w:val="both"/>
      </w:pPr>
      <w:r>
        <w:rPr>
          <w:rFonts w:ascii="Times New Roman" w:hAnsi="Times New Roman" w:cs="Times New Roman" w:eastAsia="仿宋"/>
          <w:b w:val="0"/>
          <w:sz w:val="28"/>
        </w:rPr>
        <w:t>Steil的言论正值立法者对预测市场日益不满之际，他们认为这些平台可能破坏市场诚信或威胁国家安全，常引用一名美国士兵涉嫌在委内瑞拉军事活动上进行交易的事件。该法案自2月通过委员会障碍后一直搁置，现已列入议院日程，可在参议院审议前进行辩论和投票。Steil表示希望众议院能在今年夏天对该法案进行投票。</w:t>
      </w:r>
    </w:p>
    <w:p>
      <w:pPr>
        <w:pStyle w:val="正文内容"/>
        <w:spacing w:before="0" w:after="0" w:line="240" w:lineRule="auto"/>
        <w:ind w:left="0" w:right="0" w:firstLine="560"/>
        <w:jc w:val="both"/>
      </w:pPr>
      <w:r>
        <w:rPr>
          <w:rFonts w:ascii="Times New Roman" w:hAnsi="Times New Roman" w:cs="Times New Roman" w:eastAsia="仿宋"/>
          <w:b w:val="0"/>
          <w:sz w:val="28"/>
        </w:rPr>
        <w:t>上月，众议院监督委员会主席James Comer（肯塔基州）对Polymarket和Kalshi展开调查，称“预测市场平台上内幕交易活动的增长模式表明，国会可能需要采取行动”。这是联邦层面针对预测市场的最新举措。此前，参议院于4月通过一项决议，禁止议员使用预测市场平台，这是首个禁止政府官员进行此类投注的重大监管行动。</w:t>
      </w:r>
    </w:p>
    <w:p>
      <w:pPr>
        <w:pStyle w:val="正文内容"/>
        <w:spacing w:before="0" w:after="0" w:line="240" w:lineRule="auto"/>
        <w:ind w:left="0" w:right="0" w:firstLine="560"/>
        <w:jc w:val="both"/>
      </w:pPr>
      <w:r>
        <w:rPr>
          <w:rFonts w:ascii="Times New Roman" w:hAnsi="Times New Roman" w:cs="Times New Roman" w:eastAsia="仿宋"/>
          <w:b w:val="0"/>
          <w:sz w:val="28"/>
        </w:rPr>
        <w:t>此外，据《华尔街日报》报道，白宫助手在3月被指示不要在预测市场上押注。该指令据称是在总统唐纳德·特朗普通过社交媒体宣布中东停火后一天下达的。这些行动表明，美国政府对预测市场的监管正在从行政分支向立法分支全面扩展。</w:t>
      </w:r>
    </w:p>
    <w:p>
      <w:pPr>
        <w:pStyle w:val="正文内容"/>
        <w:spacing w:before="0" w:after="0" w:line="240" w:lineRule="auto"/>
        <w:ind w:left="0" w:right="0" w:firstLine="560"/>
        <w:jc w:val="both"/>
      </w:pPr>
      <w:r>
        <w:rPr>
          <w:rFonts w:ascii="Times New Roman" w:hAnsi="Times New Roman" w:cs="Times New Roman" w:eastAsia="仿宋"/>
          <w:b w:val="0"/>
          <w:sz w:val="28"/>
        </w:rPr>
        <w:t>Steil推动将预测市场纳入股票禁令法案，反映了立法者对政治博彩影响政策制定完整性的担忧。Polymarket和Kalshi等平台允许用户对选举结果、经济指标等事件下注，可能被用于内幕交易或操纵市场。目前，法案尚未明确如何处理加密货币形式的预测合约，这成为未来审议中的关键未决问题。</w:t>
      </w:r>
    </w:p>
    <w:p>
      <w:pPr>
        <w:pStyle w:val="正文内容"/>
        <w:spacing w:before="0" w:after="0" w:line="240" w:lineRule="auto"/>
        <w:ind w:left="0" w:right="0" w:firstLine="560"/>
        <w:jc w:val="both"/>
      </w:pPr>
      <w:r>
        <w:rPr>
          <w:rFonts w:ascii="Times New Roman" w:hAnsi="Times New Roman" w:cs="Times New Roman" w:eastAsia="仿宋"/>
          <w:b w:val="0"/>
          <w:sz w:val="28"/>
        </w:rPr>
        <w:t>该法案的最终版本可能还需在众议院进行修改，以纳入数字资产和预测市场的具体定义。Steil的提案若通过，将填补现有监管空白，但同时也面临行业反对，批评者认为过度监管将扼杀创新。预计未来数月内，国会将继续就预测市场的合法性和适用范围展开辩论。</w:t>
      </w:r>
    </w:p>
    <w:p>
      <w:pPr>
        <w:pStyle w:val="正文内容"/>
        <w:spacing w:before="0" w:after="0" w:line="240" w:lineRule="auto"/>
        <w:ind w:left="0" w:right="0" w:firstLine="560"/>
        <w:jc w:val="both"/>
      </w:pPr>
      <w:r>
        <w:rPr>
          <w:rFonts w:ascii="Times New Roman" w:hAnsi="Times New Roman" w:cs="Times New Roman" w:eastAsia="仿宋"/>
          <w:b w:val="0"/>
          <w:sz w:val="28"/>
        </w:rPr>
        <w:t>从更广视角看，此举标志着美国政策制定者正加速应对新兴金融工具带来的挑战。预测市场的监管分歧不仅在于党派之间，也涉及对市场自由与公共利益的权衡。随着2026年中期选举临近，相关立法可能成为影响议员行为透明度的关键议题。</w:t>
      </w:r>
    </w:p>
    <w:p>
      <w:pPr>
        <w:pStyle w:val="正文内容"/>
        <w:spacing w:before="0" w:after="0" w:line="240" w:lineRule="auto"/>
        <w:ind w:left="0" w:right="0" w:firstLine="560"/>
        <w:jc w:val="both"/>
      </w:pPr>
      <w:r>
        <w:rPr>
          <w:rFonts w:ascii="Times New Roman" w:hAnsi="Times New Roman" w:cs="Times New Roman" w:eastAsia="仿宋"/>
          <w:b w:val="0"/>
          <w:sz w:val="28"/>
        </w:rPr>
        <w:t>当前，法案的推进仍需协调众议院和参议院的不同立场。参议院已率先通过决议，但众议院法案仍待投票。Steil的修正案若能加入，将强化对预测市场的限制，但具体实施细节，如罚款标准和披露要求，仍需进一步明确。观察人士指出，法案能否在今年夏天落地，将取决于两党协商进度及外部事件的影响。</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原文标题：Republican Lawmaker Plans to Add Prediction Markets to Congressional Stock Ban Bill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原文链接：https://decrypt.co/370086/republican-lawmaker-add-prediction-markets-ongressional-stock-ban-bill</w:t>
      </w:r>
    </w:p>
    <w:p/>
    <w:p>
      <w:pPr>
        <w:pStyle w:val="文章一级标题"/>
        <w:spacing w:before="0" w:after="0" w:line="240" w:lineRule="auto"/>
        <w:ind w:left="0" w:right="0" w:firstLine="0"/>
        <w:jc w:val="center"/>
      </w:pPr>
      <w:r>
        <w:rPr>
          <w:rFonts w:ascii="Times New Roman" w:hAnsi="Times New Roman" w:cs="Times New Roman" w:eastAsia="黑体"/>
          <w:b w:val="0"/>
          <w:sz w:val="30"/>
        </w:rPr>
        <w:t>美国比特币储备以“深思熟虑的速度”推进Bessent</w:t>
      </w:r>
    </w:p>
    <w:p>
      <w:pPr>
        <w:spacing w:before="0" w:after="0" w:line="240" w:lineRule="auto"/>
        <w:ind w:left="0" w:right="0" w:firstLine="0"/>
        <w:jc w:val="both"/>
      </w:pPr>
      <w:r>
        <w:rPr>
          <w:rFonts w:ascii="Times New Roman" w:hAnsi="Times New Roman" w:cs="Times New Roman" w:eastAsia="仿宋"/>
          <w:b w:val="0"/>
          <w:sz w:val="28"/>
        </w:rPr>
        <w:t>· 美国财政部长Scott Bessent在参议院听证会上表示，特朗普总统的比特币战略储备计划正在以“深思熟虑的速度”推进，财政部将采用最佳实践确保其长期可持续性。</w:t>
      </w:r>
    </w:p>
    <w:p>
      <w:pPr>
        <w:spacing w:before="0" w:after="0" w:line="240" w:lineRule="auto"/>
        <w:ind w:left="0" w:right="0" w:firstLine="0"/>
        <w:jc w:val="both"/>
      </w:pPr>
      <w:r>
        <w:rPr>
          <w:rFonts w:ascii="Times New Roman" w:hAnsi="Times New Roman" w:cs="Times New Roman" w:eastAsia="仿宋"/>
          <w:b w:val="0"/>
          <w:sz w:val="28"/>
        </w:rPr>
        <w:t>· Bessent敦促立法者今年夏季通过《数字资产市场清晰度法案》（CLARITY Act），称其对美国在数字资产领域的竞争力“至关重要”。</w:t>
      </w:r>
    </w:p>
    <w:p>
      <w:pPr>
        <w:spacing w:before="0" w:after="0" w:line="240" w:lineRule="auto"/>
        <w:ind w:left="0" w:right="0" w:firstLine="0"/>
        <w:jc w:val="both"/>
      </w:pPr>
      <w:r>
        <w:rPr>
          <w:rFonts w:ascii="Times New Roman" w:hAnsi="Times New Roman" w:cs="Times New Roman" w:eastAsia="仿宋"/>
          <w:b w:val="0"/>
          <w:sz w:val="28"/>
        </w:rPr>
        <w:t>· 目前美国政府持有约328，372枚比特币（价值约206亿美元），主要来自刑事和民事没收；参议员Cynthia Lummis盛赞这一进展，称其代表“胜利”。</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美国财政部长Scott Bessent于2026年6月3日在参议院财政委员会听证会上作证，讨论2027年预算及加密货币政策。Bessent表示，财政部正以“深思熟虑的速度（deliberate speed）”推进总统唐纳德·特朗普关于建立战略比特币储备的行政命令。该命令于2025年3月签署，要求财政部制定政府数字资产持有的托管和管理协议。</w:t>
      </w:r>
    </w:p>
    <w:p>
      <w:pPr>
        <w:pStyle w:val="正文内容"/>
        <w:spacing w:before="0" w:after="0" w:line="240" w:lineRule="auto"/>
        <w:ind w:left="0" w:right="0" w:firstLine="560"/>
        <w:jc w:val="both"/>
      </w:pPr>
      <w:r>
        <w:rPr>
          <w:rFonts w:ascii="Times New Roman" w:hAnsi="Times New Roman" w:cs="Times New Roman" w:eastAsia="仿宋"/>
          <w:b w:val="0"/>
          <w:sz w:val="28"/>
        </w:rPr>
        <w:t>在回答关于实施挑战的提问时，Bessent强调了政府对这一前所未有的举措采取的系统性方法。他表示：“我们确保在进行这一复杂过程时，采用最佳实践，使事情在未来具有持久性。”他补充说，战略比特币储备是“新领域（new ground）”。</w:t>
      </w:r>
    </w:p>
    <w:p>
      <w:pPr>
        <w:pStyle w:val="正文内容"/>
        <w:spacing w:before="0" w:after="0" w:line="240" w:lineRule="auto"/>
        <w:ind w:left="0" w:right="0" w:firstLine="560"/>
        <w:jc w:val="both"/>
      </w:pPr>
      <w:r>
        <w:rPr>
          <w:rFonts w:ascii="Times New Roman" w:hAnsi="Times New Roman" w:cs="Times New Roman" w:eastAsia="仿宋"/>
          <w:b w:val="0"/>
          <w:sz w:val="28"/>
        </w:rPr>
        <w:t>据BitcoinTreasuries数据，美国政府目前持有328，372枚比特币（BTC），价值约206亿美元，这些资产主要来自刑事和民事没收程序。特朗普于2025年3月签署行政命令，建立了战略比特币储备框架，指示财政部制定政府数字资产持有的托管和管理协议。</w:t>
      </w:r>
    </w:p>
    <w:p>
      <w:pPr>
        <w:pStyle w:val="正文内容"/>
        <w:spacing w:before="0" w:after="0" w:line="240" w:lineRule="auto"/>
        <w:ind w:left="0" w:right="0" w:firstLine="560"/>
        <w:jc w:val="both"/>
      </w:pPr>
      <w:r>
        <w:rPr>
          <w:rFonts w:ascii="Times New Roman" w:hAnsi="Times New Roman" w:cs="Times New Roman" w:eastAsia="仿宋"/>
          <w:b w:val="0"/>
          <w:sz w:val="28"/>
        </w:rPr>
        <w:t>参议员Cynthia Lummis（怀俄明州共和党）在推文中赞扬了Bessent的发言。Lummis是BITCOIN法案的提出者，该法案授权政府购买多达100万枚比特币。她写道：“几年前，他们称我们的想法为边缘。如今财政部长在参议院财政委员会就建立战略比特币储备和通过CLARITY法案作证。这就是胜利的样子！”</w:t>
      </w:r>
    </w:p>
    <w:p>
      <w:pPr>
        <w:pStyle w:val="正文内容"/>
        <w:spacing w:before="0" w:after="0" w:line="240" w:lineRule="auto"/>
        <w:ind w:left="0" w:right="0" w:firstLine="560"/>
        <w:jc w:val="both"/>
      </w:pPr>
      <w:r>
        <w:rPr>
          <w:rFonts w:ascii="Times New Roman" w:hAnsi="Times New Roman" w:cs="Times New Roman" w:eastAsia="仿宋"/>
          <w:b w:val="0"/>
          <w:sz w:val="28"/>
        </w:rPr>
        <w:t>Bessent还倡导就数字资产监管采取立法行动，他将《数字资产市场清晰度法案》（Digital Asset Market Clarity Act，CLARITY Act）视为维持美国在加密货币创新领域领导地位的关键。他对参议员们表示：“将美国最佳实践引入本土非常必要，我们不懈努力托管这些资产，使美国成为全球创新之都。”他补充道：“我期待清晰度法案在今年夏季获得通过。”</w:t>
      </w:r>
    </w:p>
    <w:p>
      <w:pPr>
        <w:pStyle w:val="正文内容"/>
        <w:spacing w:before="0" w:after="0" w:line="240" w:lineRule="auto"/>
        <w:ind w:left="0" w:right="0" w:firstLine="560"/>
        <w:jc w:val="both"/>
      </w:pPr>
      <w:r>
        <w:rPr>
          <w:rFonts w:ascii="Times New Roman" w:hAnsi="Times New Roman" w:cs="Times New Roman" w:eastAsia="仿宋"/>
          <w:b w:val="0"/>
          <w:sz w:val="28"/>
        </w:rPr>
        <w:t>该法案旨在为数字资产创建全面的监管框架，并明确加密代币何时属于证券或商品监管范畴。上月，参议院银行委员会已投票将该法案推进至全体参议院投票，但面临艰难的通过之路。</w:t>
      </w:r>
    </w:p>
    <w:p>
      <w:pPr>
        <w:pStyle w:val="正文内容"/>
        <w:spacing w:before="0" w:after="0" w:line="240" w:lineRule="auto"/>
        <w:ind w:left="0" w:right="0" w:firstLine="560"/>
        <w:jc w:val="both"/>
      </w:pPr>
      <w:r>
        <w:rPr>
          <w:rFonts w:ascii="Times New Roman" w:hAnsi="Times New Roman" w:cs="Times New Roman" w:eastAsia="仿宋"/>
          <w:b w:val="0"/>
          <w:sz w:val="28"/>
        </w:rPr>
        <w:t>今年4月，白宫加密货币顾问Patrick Witt暗示美国比特币储备将迎来“突破”，同时众议员Nick Begich（阿拉斯加共和党）重新提出了其BITCOIN法案的众议院配套法案，即《美国储备现代化法案》（American Reserves Modernization Act）。</w:t>
      </w:r>
    </w:p>
    <w:p>
      <w:pPr>
        <w:pStyle w:val="正文内容"/>
        <w:spacing w:before="0" w:after="0" w:line="240" w:lineRule="auto"/>
        <w:ind w:left="0" w:right="0" w:firstLine="560"/>
        <w:jc w:val="both"/>
      </w:pPr>
      <w:r>
        <w:rPr>
          <w:rFonts w:ascii="Times New Roman" w:hAnsi="Times New Roman" w:cs="Times New Roman" w:eastAsia="仿宋"/>
          <w:b w:val="0"/>
          <w:sz w:val="28"/>
        </w:rPr>
        <w:t>国会将储备正式化的努力在5月因ARMA法案的提出而获得动力，该法案旨在将该计划写入法律。目前，围绕比特币储备和数字资产监管的立法博弈仍在持续。</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原文标题：US Bitcoin Reserve Moving Ahead at ‘Deliberate Speed’： Bessent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原文链接：https://decrypt.co/369993/us-bitcoin-reserve-moving-ahead-at-deliberate-speed-bessent</w:t>
      </w:r>
    </w:p>
    <w:p/>
    <w:p>
      <w:pPr>
        <w:pStyle w:val="文章一级标题"/>
        <w:spacing w:before="0" w:after="0" w:line="240" w:lineRule="auto"/>
        <w:ind w:left="0" w:right="0" w:firstLine="0"/>
        <w:jc w:val="center"/>
      </w:pPr>
      <w:r>
        <w:rPr>
          <w:rFonts w:ascii="Times New Roman" w:hAnsi="Times New Roman" w:cs="Times New Roman" w:eastAsia="黑体"/>
          <w:b w:val="0"/>
          <w:sz w:val="30"/>
        </w:rPr>
        <w:t>摩根大通警告ClarityAct通过窗口收窄稳定币收益争议成关键障碍</w:t>
      </w:r>
    </w:p>
    <w:p>
      <w:pPr>
        <w:spacing w:before="0" w:after="0" w:line="240" w:lineRule="auto"/>
        <w:ind w:left="0" w:right="0" w:firstLine="0"/>
        <w:jc w:val="both"/>
      </w:pPr>
      <w:r>
        <w:rPr>
          <w:rFonts w:ascii="Times New Roman" w:hAnsi="Times New Roman" w:cs="Times New Roman" w:eastAsia="仿宋"/>
          <w:b w:val="0"/>
          <w:sz w:val="28"/>
        </w:rPr>
        <w:t>· 摩根大通分析师指出，美国加密市场结构法案“清晰法案（Clarity Act）”在中期选举前通过窗口收窄，立法进度可能推迟。</w:t>
      </w:r>
    </w:p>
    <w:p>
      <w:pPr>
        <w:spacing w:before="0" w:after="0" w:line="240" w:lineRule="auto"/>
        <w:ind w:left="0" w:right="0" w:firstLine="0"/>
        <w:jc w:val="both"/>
      </w:pPr>
      <w:r>
        <w:rPr>
          <w:rFonts w:ascii="Times New Roman" w:hAnsi="Times New Roman" w:cs="Times New Roman" w:eastAsia="仿宋"/>
          <w:b w:val="0"/>
          <w:sz w:val="28"/>
        </w:rPr>
        <w:t>· 稳定币能否提供收益成为核心争议，银行业与加密企业立场对立，法案对此的模糊表述加剧分歧。</w:t>
      </w:r>
    </w:p>
    <w:p>
      <w:pPr>
        <w:spacing w:before="0" w:after="0" w:line="240" w:lineRule="auto"/>
        <w:ind w:left="0" w:right="0" w:firstLine="0"/>
        <w:jc w:val="both"/>
      </w:pPr>
      <w:r>
        <w:rPr>
          <w:rFonts w:ascii="Times New Roman" w:hAnsi="Times New Roman" w:cs="Times New Roman" w:eastAsia="仿宋"/>
          <w:b w:val="0"/>
          <w:sz w:val="28"/>
        </w:rPr>
        <w:t>· 若法案限制被动稳定币收益，闲置加密资本可能加速流向代币化国债、货币市场基金和代币化存款。</w:t>
      </w:r>
    </w:p>
    <w:p>
      <w:pPr>
        <w:pStyle w:val="正文内容"/>
        <w:spacing w:before="0" w:after="0" w:line="240" w:lineRule="auto"/>
        <w:ind w:left="0" w:right="0" w:firstLine="560"/>
        <w:jc w:val="both"/>
      </w:pPr>
      <w:r>
        <w:rPr>
          <w:rFonts w:ascii="Times New Roman" w:hAnsi="Times New Roman" w:cs="Times New Roman" w:eastAsia="仿宋"/>
          <w:b w:val="0"/>
          <w:sz w:val="28"/>
        </w:rPr>
        <w:t>摩根大通（JPMorgan）在周三发布的报告中警告，随着美国中期选举临近，国会通过加密市场结构法案的时间窗口正在收窄。以Nikolaos Panigirtzoglou为首的分析师写道：“中期选举在即，市场结构法案的立法窗口已缩小，这可能推迟今年加密市场结构改革进程。”该法案即“清晰法案（Clarity Act）”，旨在建立美国首个全面的数字资产联邦监管框架。</w:t>
      </w:r>
    </w:p>
    <w:p>
      <w:pPr>
        <w:pStyle w:val="正文内容"/>
        <w:spacing w:before="0" w:after="0" w:line="240" w:lineRule="auto"/>
        <w:ind w:left="0" w:right="0" w:firstLine="560"/>
        <w:jc w:val="both"/>
      </w:pPr>
      <w:r>
        <w:rPr>
          <w:rFonts w:ascii="Times New Roman" w:hAnsi="Times New Roman" w:cs="Times New Roman" w:eastAsia="仿宋"/>
          <w:b w:val="0"/>
          <w:sz w:val="28"/>
        </w:rPr>
        <w:t>Clarity Act于5月14日通过参议院银行委员会，但后续仍需在参议院全体会议获得60票支持、与众议院版本协调并获总统签署。分析师指出，这些剩余步骤加上银行业日益强烈的反对，降低了该法案今年内生效的预期。选举前达成的妥协与选举后谈判的结果可能大相径庭，政治激励的变化使时间因素尤为关键。</w:t>
      </w:r>
    </w:p>
    <w:p>
      <w:pPr>
        <w:pStyle w:val="正文内容"/>
        <w:spacing w:before="0" w:after="0" w:line="240" w:lineRule="auto"/>
        <w:ind w:left="0" w:right="0" w:firstLine="560"/>
        <w:jc w:val="both"/>
      </w:pPr>
      <w:r>
        <w:rPr>
          <w:rFonts w:ascii="Times New Roman" w:hAnsi="Times New Roman" w:cs="Times New Roman" w:eastAsia="仿宋"/>
          <w:b w:val="0"/>
          <w:sz w:val="28"/>
        </w:rPr>
        <w:t>Clarity Act被广泛视为加密行业最重要的立法优先事项，因为它将终结加密货币归属美国证券交易委员会（SEC）还是商品期货交易委员会（CFTC）管辖的长期不确定性，以明确规则取代多年来的执法监管。行业支持者认为，监管确定性可解锁机构参与、鼓励投资与创新，并防止加密企业和资本流向海外更成熟的数字资产司法管辖区。</w:t>
      </w:r>
    </w:p>
    <w:p>
      <w:pPr>
        <w:pStyle w:val="正文内容"/>
        <w:spacing w:before="0" w:after="0" w:line="240" w:lineRule="auto"/>
        <w:ind w:left="0" w:right="0" w:firstLine="560"/>
        <w:jc w:val="both"/>
      </w:pPr>
      <w:r>
        <w:rPr>
          <w:rFonts w:ascii="Times New Roman" w:hAnsi="Times New Roman" w:cs="Times New Roman" w:eastAsia="仿宋"/>
          <w:b w:val="0"/>
          <w:sz w:val="28"/>
        </w:rPr>
        <w:t>报告指出，当前立法争议核心在于稳定币收益的处理。法案旨在禁止“被动”收益（即稳定币余额产生的利息），但允许与支付、交易、忠诚度计划及交易激励等行为挂钩的奖励。然而，分析团队强调，法案现有措辞在禁止余额利息方面并不像政策制定者暗示的那样明确，这一区别至关重要，因为它决定稳定币能否成为银行存款的替代品。</w:t>
      </w:r>
    </w:p>
    <w:p>
      <w:pPr>
        <w:pStyle w:val="正文内容"/>
        <w:spacing w:before="0" w:after="0" w:line="240" w:lineRule="auto"/>
        <w:ind w:left="0" w:right="0" w:firstLine="560"/>
        <w:jc w:val="both"/>
      </w:pPr>
      <w:r>
        <w:rPr>
          <w:rFonts w:ascii="Times New Roman" w:hAnsi="Times New Roman" w:cs="Times New Roman" w:eastAsia="仿宋"/>
          <w:b w:val="0"/>
          <w:sz w:val="28"/>
        </w:rPr>
        <w:t>银行机构推动更严格的限制，认为稳定币发行方无需像受监管存款机构那样满足保险、监管和审慎要求。加密企业则寻求更大的灵活性以提供附息产品。摩根大通表示，这一争端已成为法案推进的主要障碍，且仍具政治敏感性。利益相关方在如何界定“被动”收益上存在根本分歧。</w:t>
      </w:r>
    </w:p>
    <w:p>
      <w:pPr>
        <w:pStyle w:val="正文内容"/>
        <w:spacing w:before="0" w:after="0" w:line="240" w:lineRule="auto"/>
        <w:ind w:left="0" w:right="0" w:firstLine="560"/>
        <w:jc w:val="both"/>
      </w:pPr>
      <w:r>
        <w:rPr>
          <w:rFonts w:ascii="Times New Roman" w:hAnsi="Times New Roman" w:cs="Times New Roman" w:eastAsia="仿宋"/>
          <w:b w:val="0"/>
          <w:sz w:val="28"/>
        </w:rPr>
        <w:t>若立法者最终对被动稳定币收益施加有效限制，摩根大通预计闲置加密资本流向代币化国债、数字货币市场基金和代币化存款的趋势将加速。尽管这一结果可能令主张提供收益稳定币的加密原生企业失望，但法案仍保留了部分基于活动的奖励机制。分析师指出，当前法案文本因未明确禁止余额利息，给解读留下了空间。</w:t>
      </w:r>
    </w:p>
    <w:p>
      <w:pPr>
        <w:pStyle w:val="正文内容"/>
        <w:spacing w:before="0" w:after="0" w:line="240" w:lineRule="auto"/>
        <w:ind w:left="0" w:right="0" w:firstLine="560"/>
        <w:jc w:val="both"/>
      </w:pPr>
      <w:r>
        <w:rPr>
          <w:rFonts w:ascii="Times New Roman" w:hAnsi="Times New Roman" w:cs="Times New Roman" w:eastAsia="仿宋"/>
          <w:b w:val="0"/>
          <w:sz w:val="28"/>
        </w:rPr>
        <w:t>总体而言，Clarity Act的命运悬而未决，稳定币收益条款的拉锯战或成为决定性因素。摩根大通的报告凸显了时间紧迫性与政治复杂性，未来几周国会能否达成妥协将直接影响美国加密监管格局的走向。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原文标题：JPMorgan warns time is running short for crypto market structure bill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原文链接：https://www.coindesk.com/policy/2026/06/04/jpmorgan-warns-time-is-running-short-for-crypto-market-structure-bill</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Visa与Brale测试SBC稳定币探索隐私保护的机构结算</w:t>
      </w:r>
    </w:p>
    <w:p>
      <w:pPr>
        <w:spacing w:before="0" w:after="0" w:line="240" w:lineRule="auto"/>
        <w:ind w:left="0" w:right="0" w:firstLine="0"/>
        <w:jc w:val="both"/>
      </w:pPr>
      <w:r>
        <w:rPr>
          <w:rFonts w:ascii="Times New Roman" w:hAnsi="Times New Roman" w:cs="Times New Roman" w:eastAsia="仿宋"/>
          <w:b w:val="0"/>
          <w:sz w:val="28"/>
        </w:rPr>
        <w:t>· Visa与Brale启动概念验证，在Canton Network上测试美元锚定稳定币SBC用于机构结算。</w:t>
      </w:r>
    </w:p>
    <w:p>
      <w:pPr>
        <w:spacing w:before="0" w:after="0" w:line="240" w:lineRule="auto"/>
        <w:ind w:left="0" w:right="0" w:firstLine="0"/>
        <w:jc w:val="both"/>
      </w:pPr>
      <w:r>
        <w:rPr>
          <w:rFonts w:ascii="Times New Roman" w:hAnsi="Times New Roman" w:cs="Times New Roman" w:eastAsia="仿宋"/>
          <w:b w:val="0"/>
          <w:sz w:val="28"/>
        </w:rPr>
        <w:t>· 测试重点在于隐私区块链能否支持可编程支付，同时让机构控制交易数据可见性。</w:t>
      </w:r>
    </w:p>
    <w:p>
      <w:pPr>
        <w:spacing w:before="0" w:after="0" w:line="240" w:lineRule="auto"/>
        <w:ind w:left="0" w:right="0" w:firstLine="0"/>
        <w:jc w:val="both"/>
      </w:pPr>
      <w:r>
        <w:rPr>
          <w:rFonts w:ascii="Times New Roman" w:hAnsi="Times New Roman" w:cs="Times New Roman" w:eastAsia="仿宋"/>
          <w:b w:val="0"/>
          <w:sz w:val="28"/>
        </w:rPr>
        <w:t>· Visa稳定币结算试点年化已达70亿美元，本次测试拓展其在合规敏感场景中的应用。</w:t>
      </w:r>
    </w:p>
    <w:p>
      <w:pPr>
        <w:pStyle w:val="正文内容"/>
        <w:spacing w:before="0" w:after="0" w:line="240" w:lineRule="auto"/>
        <w:ind w:left="0" w:right="0" w:firstLine="560"/>
        <w:jc w:val="both"/>
      </w:pPr>
      <w:r>
        <w:rPr>
          <w:rFonts w:ascii="Times New Roman" w:hAnsi="Times New Roman" w:cs="Times New Roman" w:eastAsia="仿宋"/>
          <w:b w:val="0"/>
          <w:sz w:val="28"/>
        </w:rPr>
        <w:t>Visa与稳定币发行商Brale联合启动概念验证，测试基于Canton Network的SBC稳定币在机构结算中的可行性。SBC是Brale发行的美元锚定代币，该试验旨在评估隐私保护的区块链基础设施能否支持机构支付流程，同时让金融机构和支付公司对交易数据的可见性拥有更高控制权。Visa加密业务负责人Cuy Sheffield表示，合作旨在探索如何将可编程性与隐私控制结合，并评估这些能力投入生产环境的条件。</w:t>
      </w:r>
    </w:p>
    <w:p>
      <w:pPr>
        <w:pStyle w:val="正文内容"/>
        <w:spacing w:before="0" w:after="0" w:line="240" w:lineRule="auto"/>
        <w:ind w:left="0" w:right="0" w:firstLine="560"/>
        <w:jc w:val="both"/>
      </w:pPr>
      <w:r>
        <w:rPr>
          <w:rFonts w:ascii="Times New Roman" w:hAnsi="Times New Roman" w:cs="Times New Roman" w:eastAsia="仿宋"/>
          <w:b w:val="0"/>
          <w:sz w:val="28"/>
        </w:rPr>
        <w:t>机构结算对隐私的要求与公开加密转账截然不同。银行、支付公司、资管机构和企业财资部门既需要共享结算轨道，又需限制对手方信息、交易金额和流动性动向的可见度。Canton Network正是围绕隐私保护区块链构建，允许在保持可编程性的同时避免完全公开交易暴露。Visa和Brale将测试SBC能否在更严格的数据控制下实现更快、可编程的结算，而这一场景与零售支付试验截然不同，合规、隐私和可靠性是核心前提。</w:t>
      </w:r>
    </w:p>
    <w:p>
      <w:pPr>
        <w:pStyle w:val="正文内容"/>
        <w:spacing w:before="0" w:after="0" w:line="240" w:lineRule="auto"/>
        <w:ind w:left="0" w:right="0" w:firstLine="560"/>
        <w:jc w:val="both"/>
      </w:pPr>
      <w:r>
        <w:rPr>
          <w:rFonts w:ascii="Times New Roman" w:hAnsi="Times New Roman" w:cs="Times New Roman" w:eastAsia="仿宋"/>
          <w:b w:val="0"/>
          <w:sz w:val="28"/>
        </w:rPr>
        <w:t>Visa自2021年启动稳定币结算以来持续扩展相关布局，截至今年4月，其稳定币结算试点的年化运行率已达70亿美元，环比增长50%。试点目前涵盖Arc、Base、Canton、Polygon、Tempo、Avalanche、Ethereum、Solana和Stellar共9条区块链。这一广度表明Visa并非押注单一网络，而是在评估不同区块链环境对机构与支付场景的适配性。SBC的加入为策略增添新维度——将Brale的代币引入专为隐私敏感金融活动设计的网络。</w:t>
      </w:r>
    </w:p>
    <w:p>
      <w:pPr>
        <w:pStyle w:val="正文内容"/>
        <w:spacing w:before="0" w:after="0" w:line="240" w:lineRule="auto"/>
        <w:ind w:left="0" w:right="0" w:firstLine="560"/>
        <w:jc w:val="both"/>
      </w:pPr>
      <w:r>
        <w:rPr>
          <w:rFonts w:ascii="Times New Roman" w:hAnsi="Times New Roman" w:cs="Times New Roman" w:eastAsia="仿宋"/>
          <w:b w:val="0"/>
          <w:sz w:val="28"/>
        </w:rPr>
        <w:t>测试反映出稳定币使用场景的深刻转变。美元锚定代币不再仅被视为加密交易工具，大型支付公司正审视其能否在受监管的金融基础设施内充当结算资产，尤其是在传统跨境结算系统缓慢、碎片化且成本高昂的领域。Visa认为稳定币有望成为全球支付的可扩展下一代结算层，而与Brale的概念验证正是将这一主张置于受监管支付基础设施中验证的关键一步。</w:t>
      </w:r>
    </w:p>
    <w:p>
      <w:pPr>
        <w:pStyle w:val="正文内容"/>
        <w:spacing w:before="0" w:after="0" w:line="240" w:lineRule="auto"/>
        <w:ind w:left="0" w:right="0" w:firstLine="560"/>
        <w:jc w:val="both"/>
      </w:pPr>
      <w:r>
        <w:rPr>
          <w:rFonts w:ascii="Times New Roman" w:hAnsi="Times New Roman" w:cs="Times New Roman" w:eastAsia="仿宋"/>
          <w:b w:val="0"/>
          <w:sz w:val="28"/>
        </w:rPr>
        <w:t>【意见领袖】Cuy Sheffield指出：“通过我们与Brale的合作，我们正在探索Canton Network上的SBC如何支持需要可编程性和隐私控制的机构结算用例。这次协作帮助我们评估将这些能力引入生产环境所需的要素。”该表述明确将测试定位为面向生产级机构结算，而非零售支付实验，强调了合规、隐私和可靠性在推广前必须满足。</w:t>
      </w:r>
    </w:p>
    <w:p>
      <w:pPr>
        <w:pStyle w:val="正文内容"/>
        <w:spacing w:before="0" w:after="0" w:line="240" w:lineRule="auto"/>
        <w:ind w:left="0" w:right="0" w:firstLine="560"/>
        <w:jc w:val="both"/>
      </w:pPr>
      <w:r>
        <w:rPr>
          <w:rFonts w:ascii="Times New Roman" w:hAnsi="Times New Roman" w:cs="Times New Roman" w:eastAsia="仿宋"/>
          <w:b w:val="0"/>
          <w:sz w:val="28"/>
        </w:rPr>
        <w:t>从市场角度看，稳定币总供应量接近3000亿美元，其中USDT约占1880亿美元，USDC约760亿美元，集中度极高。像SBC这样的小型代币需要机构用例、网络支持和可信结算伙伴才能获得关注。Visa支持的概念验证虽不保证采用，但为SBC在机构结算讨论中赋予更清晰角色。对于Brale，合作使其代币进入支付基础设施，而非仅依赖交易所流动性或零售使用。</w:t>
      </w:r>
    </w:p>
    <w:p>
      <w:pPr>
        <w:pStyle w:val="正文内容"/>
        <w:spacing w:before="0" w:after="0" w:line="240" w:lineRule="auto"/>
        <w:ind w:left="0" w:right="0" w:firstLine="560"/>
        <w:jc w:val="both"/>
      </w:pPr>
      <w:r>
        <w:rPr>
          <w:rFonts w:ascii="Times New Roman" w:hAnsi="Times New Roman" w:cs="Times New Roman" w:eastAsia="仿宋"/>
          <w:b w:val="0"/>
          <w:sz w:val="28"/>
        </w:rPr>
        <w:t>未决问题依然存在。监管环境与发行人竞争的不确定性尚未消除，支付公司仍在持续建设稳定币能力。Visa的做法表明稳定币正被重新定位——不再是独立加密产品，而是可能嵌入支付流程、财资操作和机构转账网络的结算技术。未来哪些代币能胜出，将取决于流动性、发行人控制、网络兼容性、隐私功能及合规设计等综合因素。</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原文标题：Visa and Brale Test SBC Stablecoin for Institutional Settlement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原文链接：https://financefeeds.com/visa-and-brale-test-sbc-stablecoin-for-institutional-settlement/</w:t>
      </w:r>
    </w:p>
    <w:p/>
    <w:p>
      <w:pPr>
        <w:pStyle w:val="文章一级标题"/>
        <w:spacing w:before="0" w:after="0" w:line="240" w:lineRule="auto"/>
        <w:ind w:left="0" w:right="0" w:firstLine="0"/>
        <w:jc w:val="center"/>
      </w:pPr>
      <w:r>
        <w:rPr>
          <w:rFonts w:ascii="Times New Roman" w:hAnsi="Times New Roman" w:cs="Times New Roman" w:eastAsia="黑体"/>
          <w:b w:val="0"/>
          <w:sz w:val="30"/>
        </w:rPr>
        <w:t>Apex与Archax加入高盛代币化房地产基金GSDAP平台首次落地实物资产代币化</w:t>
      </w:r>
    </w:p>
    <w:p>
      <w:pPr>
        <w:spacing w:before="0" w:after="0" w:line="240" w:lineRule="auto"/>
        <w:ind w:left="0" w:right="0" w:firstLine="0"/>
        <w:jc w:val="both"/>
      </w:pPr>
      <w:r>
        <w:rPr>
          <w:rFonts w:ascii="Times New Roman" w:hAnsi="Times New Roman" w:cs="Times New Roman" w:eastAsia="仿宋"/>
          <w:b w:val="0"/>
          <w:sz w:val="28"/>
        </w:rPr>
        <w:t>· 高盛GS DAP平台首次用于房地产代币化基金，Apex Group提供基金管理服务，Archax担任托管和初始分销方。</w:t>
      </w:r>
    </w:p>
    <w:p>
      <w:pPr>
        <w:spacing w:before="0" w:after="0" w:line="240" w:lineRule="auto"/>
        <w:ind w:left="0" w:right="0" w:firstLine="0"/>
        <w:jc w:val="both"/>
      </w:pPr>
      <w:r>
        <w:rPr>
          <w:rFonts w:ascii="Times New Roman" w:hAnsi="Times New Roman" w:cs="Times New Roman" w:eastAsia="仿宋"/>
          <w:b w:val="0"/>
          <w:sz w:val="28"/>
        </w:rPr>
        <w:t>· 该项目标志着机构级代币化从货币市场基金向房地产等另类资产扩展，多方受监管实体协作确保合规。</w:t>
      </w:r>
    </w:p>
    <w:p>
      <w:pPr>
        <w:spacing w:before="0" w:after="0" w:line="240" w:lineRule="auto"/>
        <w:ind w:left="0" w:right="0" w:firstLine="0"/>
        <w:jc w:val="both"/>
      </w:pPr>
      <w:r>
        <w:rPr>
          <w:rFonts w:ascii="Times New Roman" w:hAnsi="Times New Roman" w:cs="Times New Roman" w:eastAsia="仿宋"/>
          <w:b w:val="0"/>
          <w:sz w:val="28"/>
        </w:rPr>
        <w:t>· 代币化份额基于隐私优先的Canton Network和DAML智能合约语言发行，旨在平衡透明度与可转移性。</w:t>
      </w:r>
    </w:p>
    <w:p>
      <w:pPr>
        <w:pStyle w:val="正文内容"/>
        <w:spacing w:before="0" w:after="0" w:line="240" w:lineRule="auto"/>
        <w:ind w:left="0" w:right="0" w:firstLine="560"/>
        <w:jc w:val="both"/>
      </w:pPr>
      <w:r>
        <w:rPr>
          <w:rFonts w:ascii="Times New Roman" w:hAnsi="Times New Roman" w:cs="Times New Roman" w:eastAsia="仿宋"/>
          <w:b w:val="0"/>
          <w:sz w:val="28"/>
        </w:rPr>
        <w:t>Apex Group宣布为一只基于高盛数字资产平台“GS DAP”的代币化房地产基金提供基金管理服务。该基金由高盛、数字资产交易所Archax、房地产投资管理公司LRC Group以及互操作性提供商Ownera共同开发，旨在将传统房地产基金份额以数字代币形式发行，实现链上转移与结算。这是高盛GS DAP平台首次直接涉足房地产代币化领域。</w:t>
      </w:r>
    </w:p>
    <w:p>
      <w:pPr>
        <w:pStyle w:val="正文内容"/>
        <w:spacing w:before="0" w:after="0" w:line="240" w:lineRule="auto"/>
        <w:ind w:left="0" w:right="0" w:firstLine="560"/>
        <w:jc w:val="both"/>
      </w:pPr>
      <w:r>
        <w:rPr>
          <w:rFonts w:ascii="Times New Roman" w:hAnsi="Times New Roman" w:cs="Times New Roman" w:eastAsia="仿宋"/>
          <w:b w:val="0"/>
          <w:sz w:val="28"/>
        </w:rPr>
        <w:t>根据公告，Apex Group担任基金的基金管理人，负责投资者服务、资产净值计算等传统职能，但全部流程基于区块链原生数据。Apex Group全球数字资产主管Agnes Mazurek表示，“代币化要实现机构级规模，依赖于受信任的受监管基础设施。”她补充说，此次参与反映了管理者与投资者对区块链原生解决方案日益增长的需求。</w:t>
      </w:r>
    </w:p>
    <w:p>
      <w:pPr>
        <w:pStyle w:val="正文内容"/>
        <w:spacing w:before="0" w:after="0" w:line="240" w:lineRule="auto"/>
        <w:ind w:left="0" w:right="0" w:firstLine="560"/>
        <w:jc w:val="both"/>
      </w:pPr>
      <w:r>
        <w:rPr>
          <w:rFonts w:ascii="Times New Roman" w:hAnsi="Times New Roman" w:cs="Times New Roman" w:eastAsia="仿宋"/>
          <w:b w:val="0"/>
          <w:sz w:val="28"/>
        </w:rPr>
        <w:t>基金份额通过高盛的数字资产平台GS DAP发行。该平台于2022年推出，基于隐私优先的Canton Network和Digital Asset的智能合约语言DAML构建，支持数字资产的发行、结算、托管和转移。高盛全球数字资产主管Mathew McDermott表示，“在GS DAP上发行区块链原生基金单位，能够精准投资房地产资产，同时解锁未来更顺畅的可转移性。”</w:t>
      </w:r>
    </w:p>
    <w:p>
      <w:pPr>
        <w:pStyle w:val="正文内容"/>
        <w:spacing w:before="0" w:after="0" w:line="240" w:lineRule="auto"/>
        <w:ind w:left="0" w:right="0" w:firstLine="560"/>
        <w:jc w:val="both"/>
      </w:pPr>
      <w:r>
        <w:rPr>
          <w:rFonts w:ascii="Times New Roman" w:hAnsi="Times New Roman" w:cs="Times New Roman" w:eastAsia="仿宋"/>
          <w:b w:val="0"/>
          <w:sz w:val="28"/>
        </w:rPr>
        <w:t>除Apex外，泛欧房地产投资公司LRC Group担任基金管理人，专注于实物资产代币化的Archax交易所担任托管人和初始分销伙伴。互操作性提供商Ownera提供连接发行人、托管人和分销渠道的互通层。这种多方受监管实体协作模式，旨在保留传统基金治理和投资者服务的同时，实现链上操作。</w:t>
      </w:r>
    </w:p>
    <w:p>
      <w:pPr>
        <w:pStyle w:val="正文内容"/>
        <w:spacing w:before="0" w:after="0" w:line="240" w:lineRule="auto"/>
        <w:ind w:left="0" w:right="0" w:firstLine="560"/>
        <w:jc w:val="both"/>
      </w:pPr>
      <w:r>
        <w:rPr>
          <w:rFonts w:ascii="Times New Roman" w:hAnsi="Times New Roman" w:cs="Times New Roman" w:eastAsia="仿宋"/>
          <w:b w:val="0"/>
          <w:sz w:val="28"/>
        </w:rPr>
        <w:t>该基金是高盛在代币化领域的又一落地案例。此前，机构代币化主要集中在货币市场基金、私人信贷及抵押品网络。2026年3月，Apex曾与美国加密货币交易所Coinbase合作，在Base区块链上推出代币化比特币收益基金。摩根大通等投行也通过Kinexys平台扩展支付、抵押品和资产代币化基础设施。</w:t>
      </w:r>
    </w:p>
    <w:p>
      <w:pPr>
        <w:pStyle w:val="正文内容"/>
        <w:spacing w:before="0" w:after="0" w:line="240" w:lineRule="auto"/>
        <w:ind w:left="0" w:right="0" w:firstLine="560"/>
        <w:jc w:val="both"/>
      </w:pPr>
      <w:r>
        <w:rPr>
          <w:rFonts w:ascii="Times New Roman" w:hAnsi="Times New Roman" w:cs="Times New Roman" w:eastAsia="仿宋"/>
          <w:b w:val="0"/>
          <w:sz w:val="28"/>
        </w:rPr>
        <w:t>Cointelegraph就基金细节向Apex Group寻求更多信息，截至发稿未获回复。目前，实物资产代币化市场持续增长——伯恩斯坦报告显示，代币化私人信贷等细分市场已飙升至510亿美元。该基金将房地产纳入机构代币化版图，但流动性、估值及二级市场转移等实际问题仍有待验证。</w:t>
      </w:r>
    </w:p>
    <w:p>
      <w:pPr>
        <w:pStyle w:val="正文内容"/>
        <w:spacing w:before="0" w:after="0" w:line="240" w:lineRule="auto"/>
        <w:ind w:left="0" w:right="0" w:firstLine="560"/>
        <w:jc w:val="both"/>
      </w:pPr>
      <w:r>
        <w:rPr>
          <w:rFonts w:ascii="Times New Roman" w:hAnsi="Times New Roman" w:cs="Times New Roman" w:eastAsia="仿宋"/>
          <w:b w:val="0"/>
          <w:sz w:val="28"/>
        </w:rPr>
        <w:t>整体而言，该项目展示了传统金融机构与数字资产生态合作推进实物资产上链的典型路径：强调监管合规、多方角色分工及隐私保护基础设施。随着更多银行和资产管理公司入场，代币化基金有望从固定收益延伸至更广泛的另类资产类别，但市场接纳度和技术整合成本仍是关键挑战。</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原文标题：Apex， Archax join Goldman Sachs tokenized real estate fund project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原文链接：https://cointelegraph.com/news/apex-group-tokenized-real-estate-fund-goldman-sachs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币安入股Alpaca布局代币化股权赛道重塑传统证券上链格局</w:t>
      </w:r>
    </w:p>
    <w:p>
      <w:pPr>
        <w:spacing w:before="0" w:after="0" w:line="240" w:lineRule="auto"/>
        <w:ind w:left="0" w:right="0" w:firstLine="0"/>
        <w:jc w:val="both"/>
      </w:pPr>
      <w:r>
        <w:rPr>
          <w:rFonts w:ascii="Times New Roman" w:hAnsi="Times New Roman" w:cs="Times New Roman" w:eastAsia="仿宋"/>
          <w:b w:val="0"/>
          <w:sz w:val="28"/>
        </w:rPr>
        <w:t>· Binance通过持有Alpaca战略少数股权，直接嵌入代币化美股与ETF的底层清算管道，后者占据94%的市场份额。</w:t>
      </w:r>
    </w:p>
    <w:p>
      <w:pPr>
        <w:spacing w:before="0" w:after="0" w:line="240" w:lineRule="auto"/>
        <w:ind w:left="0" w:right="0" w:firstLine="0"/>
        <w:jc w:val="both"/>
      </w:pPr>
      <w:r>
        <w:rPr>
          <w:rFonts w:ascii="Times New Roman" w:hAnsi="Times New Roman" w:cs="Times New Roman" w:eastAsia="仿宋"/>
          <w:b w:val="0"/>
          <w:sz w:val="28"/>
        </w:rPr>
        <w:t>· 合作协议设立多层收入共享机制：Binance将获取50%的订单流付费（Payment for Order Flow，PFOF）以及65%的证券借贷净利。</w:t>
      </w:r>
    </w:p>
    <w:p>
      <w:pPr>
        <w:spacing w:before="0" w:after="0" w:line="240" w:lineRule="auto"/>
        <w:ind w:left="0" w:right="0" w:firstLine="0"/>
        <w:jc w:val="both"/>
      </w:pPr>
      <w:r>
        <w:rPr>
          <w:rFonts w:ascii="Times New Roman" w:hAnsi="Times New Roman" w:cs="Times New Roman" w:eastAsia="仿宋"/>
          <w:b w:val="0"/>
          <w:sz w:val="28"/>
        </w:rPr>
        <w:t>· 此举为Binance即将推出的原生代币化美股产品bStocks奠定基础，并使其从竞争对手（如Bitget、Gate、Ondo）的类似业务中获取结构性收益。</w:t>
      </w:r>
    </w:p>
    <w:p>
      <w:pPr>
        <w:pStyle w:val="正文内容"/>
        <w:spacing w:before="0" w:after="0" w:line="240" w:lineRule="auto"/>
        <w:ind w:left="0" w:right="0" w:firstLine="560"/>
        <w:jc w:val="both"/>
      </w:pPr>
      <w:r>
        <w:rPr>
          <w:rFonts w:ascii="Times New Roman" w:hAnsi="Times New Roman" w:cs="Times New Roman" w:eastAsia="仿宋"/>
          <w:b w:val="0"/>
          <w:sz w:val="28"/>
        </w:rPr>
        <w:t>全球最大数字资产交易所Binance通过一份最新更新的《证券交易条款》披露，其已持有美国自清算经纪商及API基础设施提供商Alpaca的战略少数股权。这一此前未曾公开的企业信息披露，标志着传统证券市场与区块链生态的融合迈出了激进的一步。Alpaca作为获得雄厚资本支持的经纪商，在代币化美国股票与交易所交易基金（ETF）托管领域占据高达94%的市场份额，从而成为现实世界资产（Real-World Asset，RWA）运动的核心枢纽。</w:t>
      </w:r>
    </w:p>
    <w:p>
      <w:pPr>
        <w:pStyle w:val="正文内容"/>
        <w:spacing w:before="0" w:after="0" w:line="240" w:lineRule="auto"/>
        <w:ind w:left="0" w:right="0" w:firstLine="560"/>
        <w:jc w:val="both"/>
      </w:pPr>
      <w:r>
        <w:rPr>
          <w:rFonts w:ascii="Times New Roman" w:hAnsi="Times New Roman" w:cs="Times New Roman" w:eastAsia="仿宋"/>
          <w:b w:val="0"/>
          <w:sz w:val="28"/>
        </w:rPr>
        <w:t>根据披露文件，Binance与Alpaca的合作架构远非被动的风险投资配置，而是建立了深度、多层的收益分成引擎。在法律条款下，Binance将通过经由Alpaca系统路由的零售订单，直接获取50%的订单流付费（Payment for Order Flow，PFOF）。在传统股票市场中，PFOF是做市商为执行散户订单而向经纪商支付的补偿，该分成使Binance在加密交易者涉足主流股票时获得即时且高度可扩展的收入流。</w:t>
      </w:r>
    </w:p>
    <w:p>
      <w:pPr>
        <w:pStyle w:val="正文内容"/>
        <w:spacing w:before="0" w:after="0" w:line="240" w:lineRule="auto"/>
        <w:ind w:left="0" w:right="0" w:firstLine="560"/>
        <w:jc w:val="both"/>
      </w:pPr>
      <w:r>
        <w:rPr>
          <w:rFonts w:ascii="Times New Roman" w:hAnsi="Times New Roman" w:cs="Times New Roman" w:eastAsia="仿宋"/>
          <w:b w:val="0"/>
          <w:sz w:val="28"/>
        </w:rPr>
        <w:t>协议的第二层机制更深入地切入机构级货币化策略，聚焦于证券借贷利差。当用户股票配置被借给空头时，Binance有权在Alpaca向底层账户持有者支付原生利息后，获取剩余净利润的65%。这一高度倾斜的分成比例，使得Binance不再仅仅是前端推荐入口，而是成为代币化股权领域托管、清算及后端借贷操作的活跃经济参与者。</w:t>
      </w:r>
    </w:p>
    <w:p>
      <w:pPr>
        <w:pStyle w:val="正文内容"/>
        <w:spacing w:before="0" w:after="0" w:line="240" w:lineRule="auto"/>
        <w:ind w:left="0" w:right="0" w:firstLine="560"/>
        <w:jc w:val="both"/>
      </w:pPr>
      <w:r>
        <w:rPr>
          <w:rFonts w:ascii="Times New Roman" w:hAnsi="Times New Roman" w:cs="Times New Roman" w:eastAsia="仿宋"/>
          <w:b w:val="0"/>
          <w:sz w:val="28"/>
        </w:rPr>
        <w:t>股权披露的同时，Binance正借助Alpaca的Broker API大规模扩张多资产产品线，将自身核心应用转型为综合性财富管理平台。通过阿布扎比全球市场（ADGM）牌照框架下的介绍经纪商Nest Trading Limited，Binance已启动每周5天、每天24小时的传统股票交易，覆盖超过7000只美国股票和指数追踪ETF的碎片化份额。用户可使用主流稳定币如USDC和USDT进行买卖，最低投资额仅需5美元。</w:t>
      </w:r>
    </w:p>
    <w:p>
      <w:pPr>
        <w:pStyle w:val="正文内容"/>
        <w:spacing w:before="0" w:after="0" w:line="240" w:lineRule="auto"/>
        <w:ind w:left="0" w:right="0" w:firstLine="560"/>
        <w:jc w:val="both"/>
      </w:pPr>
      <w:r>
        <w:rPr>
          <w:rFonts w:ascii="Times New Roman" w:hAnsi="Times New Roman" w:cs="Times New Roman" w:eastAsia="仿宋"/>
          <w:b w:val="0"/>
          <w:sz w:val="28"/>
        </w:rPr>
        <w:t>这一基础设施布局明确地为Binance即将推出的原生代币化美股产品bStocks提供支撑。bStocks预计在未来数周内上线，是市场高度期待的产品。由于其他数字资产平台如Bitget、Gate和Ondo同样依赖Alpaca的后端API结算其代币化股票发行，Binance的少数股权确保它能从直接竞争对手的业务中提取结构性经济价值。</w:t>
      </w:r>
    </w:p>
    <w:p>
      <w:pPr>
        <w:pStyle w:val="正文内容"/>
        <w:spacing w:before="0" w:after="0" w:line="240" w:lineRule="auto"/>
        <w:ind w:left="0" w:right="0" w:firstLine="560"/>
        <w:jc w:val="both"/>
      </w:pPr>
      <w:r>
        <w:rPr>
          <w:rFonts w:ascii="Times New Roman" w:hAnsi="Times New Roman" w:cs="Times New Roman" w:eastAsia="仿宋"/>
          <w:b w:val="0"/>
          <w:sz w:val="28"/>
        </w:rPr>
        <w:t>通过入股一家在代币化股权领域占据94%垄断地位的受监管实体，Binance实质上为未来可编程、链上传统金融构建了难以逾越的竞争护城河。分析师指出，这一策略不仅巩固了Binance在RWA领域的领导地位，还可能引发监管机构对垂直整合与市场支配地位的关注。目前，关于该股权收购的具体金额及Alpaca的估值尚未公开。</w:t>
      </w:r>
    </w:p>
    <w:p>
      <w:pPr>
        <w:pStyle w:val="正文内容"/>
        <w:spacing w:before="0" w:after="0" w:line="240" w:lineRule="auto"/>
        <w:ind w:left="0" w:right="0" w:firstLine="560"/>
        <w:jc w:val="both"/>
      </w:pPr>
      <w:r>
        <w:rPr>
          <w:rFonts w:ascii="Times New Roman" w:hAnsi="Times New Roman" w:cs="Times New Roman" w:eastAsia="仿宋"/>
          <w:b w:val="0"/>
          <w:sz w:val="28"/>
        </w:rPr>
        <w:t>【意见领袖】FinTech分析师Karthik Subramanian在本文中指出，Binance的举措“通过嵌入底层清算管道，从竞争对手的类似业务中抽取结构性收益，是RWA领域的关键转折点”。不过，观察人士也注意到，Binance自身仍面临全球多地的监管审查，其通过离岸架构（ADGM）提供传统股票交易的做法，可能引发不同司法管辖区对证券法适用的新争议。</w:t>
      </w:r>
    </w:p>
    <w:p>
      <w:pPr>
        <w:pStyle w:val="正文内容"/>
        <w:spacing w:before="0" w:after="0" w:line="240" w:lineRule="auto"/>
        <w:ind w:left="0" w:right="0" w:firstLine="560"/>
        <w:jc w:val="both"/>
      </w:pPr>
      <w:r>
        <w:rPr>
          <w:rFonts w:ascii="Times New Roman" w:hAnsi="Times New Roman" w:cs="Times New Roman" w:eastAsia="仿宋"/>
          <w:b w:val="0"/>
          <w:sz w:val="28"/>
        </w:rPr>
        <w:t>此次战略投资折射出头部交易所从纯加密资产向传统金融基础设施渗透的强烈意愿。随着代币化股权市场规模预期增长，Binance能否在监管合规与商业扩张之间保持平衡，以及bStocks上线后的实际表现，将成为未来数月市场关注的焦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原文标题：Binance Secures High-Stakes Equity Slice of Alpaca to Corner Tokenized Equity Pipelines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原文链接：https://financefeeds.com/binance-secures-high-stakes-equity-slice-of-alpaca-to-corner-tokenized-equity-pipelines/</w:t>
      </w:r>
    </w:p>
    <w:p/>
    <w:p>
      <w:pPr>
        <w:pStyle w:val="文章一级标题"/>
        <w:spacing w:before="0" w:after="0" w:line="240" w:lineRule="auto"/>
        <w:ind w:left="0" w:right="0" w:firstLine="0"/>
        <w:jc w:val="center"/>
      </w:pPr>
      <w:r>
        <w:rPr>
          <w:rFonts w:ascii="Times New Roman" w:hAnsi="Times New Roman" w:cs="Times New Roman" w:eastAsia="黑体"/>
          <w:b w:val="0"/>
          <w:sz w:val="30"/>
        </w:rPr>
        <w:t>比特币ETF连续13日净流出44亿美元比特币承压跌超20%</w:t>
      </w:r>
    </w:p>
    <w:p>
      <w:pPr>
        <w:spacing w:before="0" w:after="0" w:line="240" w:lineRule="auto"/>
        <w:ind w:left="0" w:right="0" w:firstLine="0"/>
        <w:jc w:val="both"/>
      </w:pPr>
      <w:r>
        <w:rPr>
          <w:rFonts w:ascii="Times New Roman" w:hAnsi="Times New Roman" w:cs="Times New Roman" w:eastAsia="仿宋"/>
          <w:b w:val="0"/>
          <w:sz w:val="28"/>
        </w:rPr>
        <w:t>· 美国现货比特币ETF连续13个交易日净流出，累计达44亿美元，创历史最长流出纪录。</w:t>
      </w:r>
    </w:p>
    <w:p>
      <w:pPr>
        <w:spacing w:before="0" w:after="0" w:line="240" w:lineRule="auto"/>
        <w:ind w:left="0" w:right="0" w:firstLine="0"/>
        <w:jc w:val="both"/>
      </w:pPr>
      <w:r>
        <w:rPr>
          <w:rFonts w:ascii="Times New Roman" w:hAnsi="Times New Roman" w:cs="Times New Roman" w:eastAsia="仿宋"/>
          <w:b w:val="0"/>
          <w:sz w:val="28"/>
        </w:rPr>
        <w:t>· 比特币价格自5月15日以来下跌约21%，一度跌破63，000美元。</w:t>
      </w:r>
    </w:p>
    <w:p>
      <w:pPr>
        <w:spacing w:before="0" w:after="0" w:line="240" w:lineRule="auto"/>
        <w:ind w:left="0" w:right="0" w:firstLine="0"/>
        <w:jc w:val="both"/>
      </w:pPr>
      <w:r>
        <w:rPr>
          <w:rFonts w:ascii="Times New Roman" w:hAnsi="Times New Roman" w:cs="Times New Roman" w:eastAsia="仿宋"/>
          <w:b w:val="0"/>
          <w:sz w:val="28"/>
        </w:rPr>
        <w:t>· 贝莱德IBIT占流出总量约75%，分析师对抛售驱动因素存在分歧。</w:t>
      </w:r>
    </w:p>
    <w:p>
      <w:pPr>
        <w:pStyle w:val="正文内容"/>
        <w:spacing w:before="0" w:after="0" w:line="240" w:lineRule="auto"/>
        <w:ind w:left="0" w:right="0" w:firstLine="560"/>
        <w:jc w:val="both"/>
      </w:pPr>
      <w:r>
        <w:rPr>
          <w:rFonts w:ascii="Times New Roman" w:hAnsi="Times New Roman" w:cs="Times New Roman" w:eastAsia="仿宋"/>
          <w:b w:val="0"/>
          <w:sz w:val="28"/>
        </w:rPr>
        <w:t>美国上市的现货比特币ETF在周三（6月3日）录得3.97亿美元净流出，将连续流出纪录延长至13个交易日，累计流出约44亿美元。根据SoSoValue数据，此次流出规模超过2025年2月创下的八天连续流出纪录（当时约32亿美元）。比特币价格在周四短暂跌破63，000美元，市场情绪持续低迷。</w:t>
      </w:r>
    </w:p>
    <w:p>
      <w:pPr>
        <w:pStyle w:val="正文内容"/>
        <w:spacing w:before="0" w:after="0" w:line="240" w:lineRule="auto"/>
        <w:ind w:left="0" w:right="0" w:firstLine="560"/>
        <w:jc w:val="both"/>
      </w:pPr>
      <w:r>
        <w:rPr>
          <w:rFonts w:ascii="Times New Roman" w:hAnsi="Times New Roman" w:cs="Times New Roman" w:eastAsia="仿宋"/>
          <w:b w:val="0"/>
          <w:sz w:val="28"/>
        </w:rPr>
        <w:t>自5月15日流出开始以来，比特币已从约80，000美元下跌约21%至约63，400美元（CoinGecko数据）。分析师指出，ETF需求减弱、长期持有者抛售以及矿工压力是可能的原因。CryptoQuant研究主管Julio Moreno表示，整体需求在过去一个月下降了约501，000 BTC，这是自2022年5月以来最快的月度下降，与Terra/Luna崩盘后时期相似。</w:t>
      </w:r>
    </w:p>
    <w:p>
      <w:pPr>
        <w:pStyle w:val="正文内容"/>
        <w:spacing w:before="0" w:after="0" w:line="240" w:lineRule="auto"/>
        <w:ind w:left="0" w:right="0" w:firstLine="560"/>
        <w:jc w:val="both"/>
      </w:pPr>
      <w:r>
        <w:rPr>
          <w:rFonts w:ascii="Times New Roman" w:hAnsi="Times New Roman" w:cs="Times New Roman" w:eastAsia="仿宋"/>
          <w:b w:val="0"/>
          <w:sz w:val="28"/>
        </w:rPr>
        <w:t>贝莱德的iShares Bitcoin Trust（IBIT）占流出大头，13天内流出约33亿美元，占总流出量的约75%。富达的Fidelity Wise Origin Bitcoin Fund（FBTC）和灰度Grayscale Bitcoin Trust ETF（GBTC）分别流出约4.566亿和3.036亿美元。过去30天，美国现货比特币ETF共流出51，726 BTC（近50亿美元），截至6月2日，IBIT持有约786，800 BTC。</w:t>
      </w:r>
    </w:p>
    <w:p>
      <w:pPr>
        <w:pStyle w:val="正文内容"/>
        <w:spacing w:before="0" w:after="0" w:line="240" w:lineRule="auto"/>
        <w:ind w:left="0" w:right="0" w:firstLine="560"/>
        <w:jc w:val="both"/>
      </w:pPr>
      <w:r>
        <w:rPr>
          <w:rFonts w:ascii="Times New Roman" w:hAnsi="Times New Roman" w:cs="Times New Roman" w:eastAsia="仿宋"/>
          <w:b w:val="0"/>
          <w:sz w:val="28"/>
        </w:rPr>
        <w:t>行业观察人士对抛售压力来源存在分歧。彭博ETF分析师Eric Balchunas表示，长期机构买家（包括ETF和Michael Saylor的Strategy）仍是净增持方，他认为“忘了婴儿潮一代，需要‘找OG们’——他们才是背后推手”。CryptoQuant创始人Ki Young Ju指出，早期持有者和矿工的抛售反映了向美国机构（包括ETF和传统投资者）的供应转移，这可能加强长期需求，即使市场正在远离早期“密码朋克”持有者。</w:t>
      </w:r>
    </w:p>
    <w:p>
      <w:pPr>
        <w:pStyle w:val="正文内容"/>
        <w:spacing w:before="0" w:after="0" w:line="240" w:lineRule="auto"/>
        <w:ind w:left="0" w:right="0" w:firstLine="560"/>
        <w:jc w:val="both"/>
      </w:pPr>
      <w:r>
        <w:rPr>
          <w:rFonts w:ascii="Times New Roman" w:hAnsi="Times New Roman" w:cs="Times New Roman" w:eastAsia="仿宋"/>
          <w:b w:val="0"/>
          <w:sz w:val="28"/>
        </w:rPr>
        <w:t>渣打银行数字资产研究主管Geoffrey Kendrick在周四的声明中表示，尽管出现流出，但比特币ETF持仓自2月以来基本稳定，表明市场存在结构性韧性。但他也指出，Strategy出售32 BTC的行为“符合DAT怀疑论者的论点”，时机不佳，加剧了短期看跌叙事。</w:t>
      </w:r>
    </w:p>
    <w:p>
      <w:pPr>
        <w:pStyle w:val="正文内容"/>
        <w:spacing w:before="0" w:after="0" w:line="240" w:lineRule="auto"/>
        <w:ind w:left="0" w:right="0" w:firstLine="560"/>
        <w:jc w:val="both"/>
      </w:pPr>
      <w:r>
        <w:rPr>
          <w:rFonts w:ascii="Times New Roman" w:hAnsi="Times New Roman" w:cs="Times New Roman" w:eastAsia="仿宋"/>
          <w:b w:val="0"/>
          <w:sz w:val="28"/>
        </w:rPr>
        <w:t>一些市场评论认为，衍生品头寸和交易所活动可能是价格下跌的驱动因素，有限的链上卖盘暗示杠杆和清算可能放大波动性。投资者正关注比特币能否守住60，000美元支撑位，以太坊等其他加密货币也出现大幅下跌，加密总市值蒸发约2万亿美元。</w:t>
      </w:r>
    </w:p>
    <w:p>
      <w:pPr>
        <w:pStyle w:val="正文内容"/>
        <w:spacing w:before="0" w:after="0" w:line="240" w:lineRule="auto"/>
        <w:ind w:left="0" w:right="0" w:firstLine="560"/>
        <w:jc w:val="both"/>
      </w:pPr>
      <w:r>
        <w:rPr>
          <w:rFonts w:ascii="Times New Roman" w:hAnsi="Times New Roman" w:cs="Times New Roman" w:eastAsia="仿宋"/>
          <w:b w:val="0"/>
          <w:sz w:val="28"/>
        </w:rPr>
        <w:t>尽管流出持续，但标准渣打银行的Kendrick认为ETF持仓稳定性表明市场并非完全悲观。然而，MicroStrategy的债务回购和比特币销售引发了是否会出现类似Terra Luna式崩溃的担忧。市场仍在等待更多数据以判断趋势是否会逆转。</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ETFs bleed $4.4B as outflow run extends to 13 trading days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原文链接：https://cointelegraph.com/news/bitcoin-etfs-4-4-billion-outflows-13-day-streak</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“末日博士”合伙人警告比特币或暴跌70%但长期可达50万美元</w:t>
      </w:r>
    </w:p>
    <w:p>
      <w:pPr>
        <w:spacing w:before="0" w:after="0" w:line="240" w:lineRule="auto"/>
        <w:ind w:left="0" w:right="0" w:firstLine="0"/>
        <w:jc w:val="both"/>
      </w:pPr>
      <w:r>
        <w:rPr>
          <w:rFonts w:ascii="Times New Roman" w:hAnsi="Times New Roman" w:cs="Times New Roman" w:eastAsia="仿宋"/>
          <w:b w:val="0"/>
          <w:sz w:val="28"/>
        </w:rPr>
        <w:t>· Atlas Capital首席执行官Reza Bundy警告，比特币未来六个月内可能暴跌70%，但长期看涨至15万至50万美元。</w:t>
      </w:r>
    </w:p>
    <w:p>
      <w:pPr>
        <w:spacing w:before="0" w:after="0" w:line="240" w:lineRule="auto"/>
        <w:ind w:left="0" w:right="0" w:firstLine="0"/>
        <w:jc w:val="both"/>
      </w:pPr>
      <w:r>
        <w:rPr>
          <w:rFonts w:ascii="Times New Roman" w:hAnsi="Times New Roman" w:cs="Times New Roman" w:eastAsia="仿宋"/>
          <w:b w:val="0"/>
          <w:sz w:val="28"/>
        </w:rPr>
        <w:t>· Bundy的悲观预测基于与经济学家Nouriel Roubini（“末日博士”）的分析，认为比特币未成为通胀对冲工具，而是高风险资产。</w:t>
      </w:r>
    </w:p>
    <w:p>
      <w:pPr>
        <w:spacing w:before="0" w:after="0" w:line="240" w:lineRule="auto"/>
        <w:ind w:left="0" w:right="0" w:firstLine="0"/>
        <w:jc w:val="both"/>
      </w:pPr>
      <w:r>
        <w:rPr>
          <w:rFonts w:ascii="Times New Roman" w:hAnsi="Times New Roman" w:cs="Times New Roman" w:eastAsia="仿宋"/>
          <w:b w:val="0"/>
          <w:sz w:val="28"/>
        </w:rPr>
        <w:t>· Bundy提出四种经济情景支撑长期看涨，包括“控制扩张”、“财政主导”、“全球冲突”和“通缩衰退”；同时其公司推出“科技美元”策略。</w:t>
      </w:r>
    </w:p>
    <w:p>
      <w:pPr>
        <w:pStyle w:val="正文内容"/>
        <w:spacing w:before="0" w:after="0" w:line="240" w:lineRule="auto"/>
        <w:ind w:left="0" w:right="0" w:firstLine="560"/>
        <w:jc w:val="both"/>
      </w:pPr>
      <w:r>
        <w:rPr>
          <w:rFonts w:ascii="Times New Roman" w:hAnsi="Times New Roman" w:cs="Times New Roman" w:eastAsia="仿宋"/>
          <w:b w:val="0"/>
          <w:sz w:val="28"/>
        </w:rPr>
        <w:t>在巴黎举行的Proof of Talk大会上，Atlas Capital首席执行官Reza Bundy接受CoinDesk采访时发出警告：比特币可能在未来六个月内暴跌70%，跌至2.6万至3万美元区间，但长期来看仍有望达到15万至50万美元。Bundy是长期比特币批评者、经济学家Nouriel Roubini（人称“末日博士”）的商业伙伴，其观点与行业普遍乐观情绪形成鲜明对比。</w:t>
      </w:r>
    </w:p>
    <w:p>
      <w:pPr>
        <w:pStyle w:val="正文内容"/>
        <w:spacing w:before="0" w:after="0" w:line="240" w:lineRule="auto"/>
        <w:ind w:left="0" w:right="0" w:firstLine="560"/>
        <w:jc w:val="both"/>
      </w:pPr>
      <w:r>
        <w:rPr>
          <w:rFonts w:ascii="Times New Roman" w:hAnsi="Times New Roman" w:cs="Times New Roman" w:eastAsia="仿宋"/>
          <w:b w:val="0"/>
          <w:sz w:val="28"/>
        </w:rPr>
        <w:t>Bundy的悲观预测直接源于他与Atlas首席经济学家Roubini共同开发的数据和分析。Roubini因准确预测2008年次贷危机而获称“末日博士”，且自2017年比特币牛市以来一直持怀疑态度。他近期在彭博社的采访中重申，比特币是“伪资产类别”和纯粹“投机资产”，缺乏基本面价值和实际应用，不同于黄金等经济对冲工具。Bundy也呼应了这种短期悲观论调，称比特币作为通胀对冲工具已经失败，如今仅是高度波动的风险资产，与科技股同步波动。</w:t>
      </w:r>
    </w:p>
    <w:p>
      <w:pPr>
        <w:pStyle w:val="正文内容"/>
        <w:spacing w:before="0" w:after="0" w:line="240" w:lineRule="auto"/>
        <w:ind w:left="0" w:right="0" w:firstLine="560"/>
        <w:jc w:val="both"/>
      </w:pPr>
      <w:r>
        <w:rPr>
          <w:rFonts w:ascii="Times New Roman" w:hAnsi="Times New Roman" w:cs="Times New Roman" w:eastAsia="仿宋"/>
          <w:b w:val="0"/>
          <w:sz w:val="28"/>
        </w:rPr>
        <w:t>尽管短期看空，Bundy并非永远看跌比特币。他仍相信比特币的“价值储藏（store of value）”逻辑，长期看多。Bundy的长期预测区间为15万至50万美元，这与他的合伙人Roubini立场相左。他的乐观源于比特币作为替代货币的原始承诺——对抗全球政治和货币混乱。Bundy认为，比特币的长期增长将由政府债务上升、央行任意印钞以及对传统货币信任度下降所驱动。</w:t>
      </w:r>
    </w:p>
    <w:p>
      <w:pPr>
        <w:pStyle w:val="正文内容"/>
        <w:spacing w:before="0" w:after="0" w:line="240" w:lineRule="auto"/>
        <w:ind w:left="0" w:right="0" w:firstLine="560"/>
        <w:jc w:val="both"/>
      </w:pPr>
      <w:r>
        <w:rPr>
          <w:rFonts w:ascii="Times New Roman" w:hAnsi="Times New Roman" w:cs="Times New Roman" w:eastAsia="仿宋"/>
          <w:b w:val="0"/>
          <w:sz w:val="28"/>
        </w:rPr>
        <w:t>Bundy勾勒了比特币长期价格的四种经济路径：第一，“控制扩张”（概率40%），全球经济稳定增长和通胀可控，推动比特币至15万至25万美元；第二，“财政主导”（概率25%），政府印钞覆盖债务导致高通胀，稀缺资产受益，比特币可达25万至50万美元；第三，“全球冲突”（概率20%），台湾或中东等地的重大安全冲击引发市场恐慌和价格下跌，但最终凸显比特币作为安全、中性资产的价值；第四，“通缩衰退”（概率15%），信贷冻结令比特币走弱，直到央行注入流动性。</w:t>
      </w:r>
    </w:p>
    <w:p>
      <w:pPr>
        <w:pStyle w:val="正文内容"/>
        <w:spacing w:before="0" w:after="0" w:line="240" w:lineRule="auto"/>
        <w:ind w:left="0" w:right="0" w:firstLine="560"/>
        <w:jc w:val="both"/>
      </w:pPr>
      <w:r>
        <w:rPr>
          <w:rFonts w:ascii="Times New Roman" w:hAnsi="Times New Roman" w:cs="Times New Roman" w:eastAsia="仿宋"/>
          <w:b w:val="0"/>
          <w:sz w:val="28"/>
        </w:rPr>
        <w:t>短期内，Bundy认为全球金融危机即将来临。他警告传统股市是即将破裂的泡沫，类似1929年大萧条。这一判断也体现在Atlas Capital的投资策略中，即“科技美元（techno-dollar）”。该策略并非将数字代币与单一贬值政府货币挂钩，而是利用AI驱动分配模型在不同资产间切换，包括黄金、食品、房地产和国防技术。Atlas目前通过纳斯达克上市的ETF（代码USAF）运行该策略，净资产约1800万美元，成立以来回报率8.7%。</w:t>
      </w:r>
    </w:p>
    <w:p>
      <w:pPr>
        <w:pStyle w:val="正文内容"/>
        <w:spacing w:before="0" w:after="0" w:line="240" w:lineRule="auto"/>
        <w:ind w:left="0" w:right="0" w:firstLine="560"/>
        <w:jc w:val="both"/>
      </w:pPr>
      <w:r>
        <w:rPr>
          <w:rFonts w:ascii="Times New Roman" w:hAnsi="Times New Roman" w:cs="Times New Roman" w:eastAsia="仿宋"/>
          <w:b w:val="0"/>
          <w:sz w:val="28"/>
        </w:rPr>
        <w:t>Bundy计划本月晚些时候将该策略代币化到公共区块链上。当被问及为何基金不包含比特币时，Bundy表示，尽管他长期看涨，但正在等待他所预测的短期市场崩盘先过去。“我们相信会出现重大股市回调，不想卷入比特币的下跌。一旦修正完成，我们将做出是否纳入的最终决定。”这一表述也留下了未决问题：若比特币如期暴跌，Atlas是否会在低位买入，以及Roubini的持续反对意见是否会影响最终决策。</w:t>
      </w:r>
    </w:p>
    <w:p>
      <w:pPr>
        <w:pStyle w:val="正文内容"/>
        <w:spacing w:before="0" w:after="0" w:line="240" w:lineRule="auto"/>
        <w:ind w:left="0" w:right="0" w:firstLine="560"/>
        <w:jc w:val="both"/>
      </w:pPr>
      <w:r>
        <w:rPr>
          <w:rFonts w:ascii="Times New Roman" w:hAnsi="Times New Roman" w:cs="Times New Roman" w:eastAsia="仿宋"/>
          <w:b w:val="0"/>
          <w:sz w:val="28"/>
        </w:rPr>
        <w:t>Bundy的警告发生在比特币价格约6.3万美元、年内下跌近28%的背景之下。同期标普500指数上涨10%，纳斯达克指数上涨约19%，比特币表现逊于股市。Bundy认为，如果股市出现类似2008年一半的跌幅，比特币的跌幅将翻倍。这一观点直接关联到比特币作为“数字黄金”叙事的有效性，而许多比特币支持者则强调其长期回报和固定供应量，与Bundy形成鲜明对立。</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原文标题：‘Dr. Doom’-backed Atlas Capital CEO says bitcoin could crash 70% before reaching $500，000</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原文链接：https://www.coindesk.com/markets/2026/06/04/dr-doom-backed-atlas-capital-ceo-says-bitcoin-could-crash-70-before-reaching-usd500-000</w:t>
      </w:r>
    </w:p>
    <w:p/>
    <w:p>
      <w:pPr>
        <w:pStyle w:val="文章一级标题"/>
        <w:spacing w:before="0" w:after="0" w:line="240" w:lineRule="auto"/>
        <w:ind w:left="0" w:right="0" w:firstLine="0"/>
        <w:jc w:val="center"/>
      </w:pPr>
      <w:r>
        <w:rPr>
          <w:rFonts w:ascii="Times New Roman" w:hAnsi="Times New Roman" w:cs="Times New Roman" w:eastAsia="黑体"/>
          <w:b w:val="0"/>
          <w:sz w:val="30"/>
        </w:rPr>
        <w:t>渣打银行比特币与市场底部之间的三个“如果”</w:t>
      </w:r>
    </w:p>
    <w:p>
      <w:pPr>
        <w:spacing w:before="0" w:after="0" w:line="240" w:lineRule="auto"/>
        <w:ind w:left="0" w:right="0" w:firstLine="0"/>
        <w:jc w:val="both"/>
      </w:pPr>
      <w:r>
        <w:rPr>
          <w:rFonts w:ascii="Times New Roman" w:hAnsi="Times New Roman" w:cs="Times New Roman" w:eastAsia="仿宋"/>
          <w:b w:val="0"/>
          <w:sz w:val="28"/>
        </w:rPr>
        <w:t>· 渣打银行数字资产研究全球主管Geoff Kendrick认为比特币底部已近，但需满足三个条件。</w:t>
      </w:r>
    </w:p>
    <w:p>
      <w:pPr>
        <w:spacing w:before="0" w:after="0" w:line="240" w:lineRule="auto"/>
        <w:ind w:left="0" w:right="0" w:firstLine="0"/>
        <w:jc w:val="both"/>
      </w:pPr>
      <w:r>
        <w:rPr>
          <w:rFonts w:ascii="Times New Roman" w:hAnsi="Times New Roman" w:cs="Times New Roman" w:eastAsia="仿宋"/>
          <w:b w:val="0"/>
          <w:sz w:val="28"/>
        </w:rPr>
        <w:t>· 第一个条件：Strategy（MSTR）可能重复2022年操作，在卖出后大量回购，幅度可达此前卖出的100倍。</w:t>
      </w:r>
    </w:p>
    <w:p>
      <w:pPr>
        <w:spacing w:before="0" w:after="0" w:line="240" w:lineRule="auto"/>
        <w:ind w:left="0" w:right="0" w:firstLine="0"/>
        <w:jc w:val="both"/>
      </w:pPr>
      <w:r>
        <w:rPr>
          <w:rFonts w:ascii="Times New Roman" w:hAnsi="Times New Roman" w:cs="Times New Roman" w:eastAsia="仿宋"/>
          <w:b w:val="0"/>
          <w:sz w:val="28"/>
        </w:rPr>
        <w:t>· 第二个条件：美国现货比特币ETF（Exchange-Traded Fund，ETF）持仓结构比想象中稳固，累计净流入仍达542亿美元。</w:t>
      </w:r>
    </w:p>
    <w:p>
      <w:pPr>
        <w:pStyle w:val="正文内容"/>
        <w:spacing w:before="0" w:after="0" w:line="240" w:lineRule="auto"/>
        <w:ind w:left="0" w:right="0" w:firstLine="560"/>
        <w:jc w:val="both"/>
      </w:pPr>
      <w:r>
        <w:rPr>
          <w:rFonts w:ascii="Times New Roman" w:hAnsi="Times New Roman" w:cs="Times New Roman" w:eastAsia="仿宋"/>
          <w:b w:val="0"/>
          <w:sz w:val="28"/>
        </w:rPr>
        <w:t>比特币（Bitcoin，BTC）近期经历剧烈抛售，7天内跌幅达14%，价格跌至2月崩盘以来最低水平，逼近6万美元关键心理位。市场普遍悲观，多数分析师警告若跌破该关口，局势可能进一步恶化。然而，渣打银行（Standard Chartered）全球数字资产研究主管Geoff Kendrick却持不同看法：他认为“底部已近”，但前提是三个关键条件必须兑现。</w:t>
      </w:r>
    </w:p>
    <w:p>
      <w:pPr>
        <w:pStyle w:val="正文内容"/>
        <w:spacing w:before="0" w:after="0" w:line="240" w:lineRule="auto"/>
        <w:ind w:left="0" w:right="0" w:firstLine="560"/>
        <w:jc w:val="both"/>
      </w:pPr>
      <w:r>
        <w:rPr>
          <w:rFonts w:ascii="Times New Roman" w:hAnsi="Times New Roman" w:cs="Times New Roman" w:eastAsia="仿宋"/>
          <w:b w:val="0"/>
          <w:sz w:val="28"/>
        </w:rPr>
        <w:t>Kendrick的第一支柱参考了MicroStrategy（现更名为Strategy，股票代码MSTR）的历史操作。2022年12月，该公司在卖出比特币后仅两天即购回更多筹码。上周，Strategy卖出32枚BTC，Kendrick预计其将故技重施，甚至可能回购高达3200枚BTC（即卖出量的100倍）。他在邮件中表示，若下周一（6月8日）确认回购，这将被视为底部形成的初步信号。</w:t>
      </w:r>
    </w:p>
    <w:p>
      <w:pPr>
        <w:pStyle w:val="正文内容"/>
        <w:spacing w:before="0" w:after="0" w:line="240" w:lineRule="auto"/>
        <w:ind w:left="0" w:right="0" w:firstLine="560"/>
        <w:jc w:val="both"/>
      </w:pPr>
      <w:r>
        <w:rPr>
          <w:rFonts w:ascii="Times New Roman" w:hAnsi="Times New Roman" w:cs="Times New Roman" w:eastAsia="仿宋"/>
          <w:b w:val="0"/>
          <w:sz w:val="28"/>
        </w:rPr>
        <w:t>第二支柱聚焦美国现货比特币ETF（Exchange-Traded Fund，ETF）的持仓韧性。尽管过去三周ETF净流出达50亿美元，但Kendrick指出，若从整体看，持有总量几乎未变：自2024年初推出以来，累计净流入仍为542亿美元，与此前高点持平。ETF持仓从68.2万枚BTC降至67.4万枚，“基本无变化”，这让他对ETF结构的信心超过2月恐慌时期。</w:t>
      </w:r>
    </w:p>
    <w:p>
      <w:pPr>
        <w:pStyle w:val="正文内容"/>
        <w:spacing w:before="0" w:after="0" w:line="240" w:lineRule="auto"/>
        <w:ind w:left="0" w:right="0" w:firstLine="560"/>
        <w:jc w:val="both"/>
      </w:pPr>
      <w:r>
        <w:rPr>
          <w:rFonts w:ascii="Times New Roman" w:hAnsi="Times New Roman" w:cs="Times New Roman" w:eastAsia="仿宋"/>
          <w:b w:val="0"/>
          <w:sz w:val="28"/>
        </w:rPr>
        <w:t>第三支柱涉及杠杆清算的尾声。Kendrick统计，交易所已强制平仓价值15亿美元的比特币期货头寸，规模与1月相当。考虑到比特币今年已严重跑输股票市场，剩余可清算的多头杠杆头寸已大幅减少。他据此认为，抛售动能正在衰竭，“底部可能就在附近”。</w:t>
      </w:r>
    </w:p>
    <w:p>
      <w:pPr>
        <w:pStyle w:val="正文内容"/>
        <w:spacing w:before="0" w:after="0" w:line="240" w:lineRule="auto"/>
        <w:ind w:left="0" w:right="0" w:firstLine="560"/>
        <w:jc w:val="both"/>
      </w:pPr>
      <w:r>
        <w:rPr>
          <w:rFonts w:ascii="Times New Roman" w:hAnsi="Times New Roman" w:cs="Times New Roman" w:eastAsia="仿宋"/>
          <w:b w:val="0"/>
          <w:sz w:val="28"/>
        </w:rPr>
        <w:t>Kendrick的判断也得到技术面佐证。比特币当前价格接近200周简单移动平均线（200-week Simple Moving Average，SMA），历史数据显示，此前几次熊市底部均出现在该均线附近。不过过去表现并不能保证未来结果，Kendrick自己也承认，预测精确底部需要太多“如果”。</w:t>
      </w:r>
    </w:p>
    <w:p>
      <w:pPr>
        <w:pStyle w:val="正文内容"/>
        <w:spacing w:before="0" w:after="0" w:line="240" w:lineRule="auto"/>
        <w:ind w:left="0" w:right="0" w:firstLine="560"/>
        <w:jc w:val="both"/>
      </w:pPr>
      <w:r>
        <w:rPr>
          <w:rFonts w:ascii="Times New Roman" w:hAnsi="Times New Roman" w:cs="Times New Roman" w:eastAsia="仿宋"/>
          <w:b w:val="0"/>
          <w:sz w:val="28"/>
        </w:rPr>
        <w:t>具体而言，三个条件均存在不确定性：Strategy是否真的会大规模回购？ETF资金流出是否只是暂时停顿？杠杆清算是否已完全出清？Kendrick并未给出确定性答案，而是强调“在当前水平积累比等待确定性更合理”。他展望称：“当我们在2026年底回头看，BTC达10万美元、ETH达4000美元时，会认为现在正是我们想要的那个买入区间。”</w:t>
      </w:r>
    </w:p>
    <w:p>
      <w:pPr>
        <w:pStyle w:val="正文内容"/>
        <w:spacing w:before="0" w:after="0" w:line="240" w:lineRule="auto"/>
        <w:ind w:left="0" w:right="0" w:firstLine="560"/>
        <w:jc w:val="both"/>
      </w:pPr>
      <w:r>
        <w:rPr>
          <w:rFonts w:ascii="Times New Roman" w:hAnsi="Times New Roman" w:cs="Times New Roman" w:eastAsia="仿宋"/>
          <w:b w:val="0"/>
          <w:sz w:val="28"/>
        </w:rPr>
        <w:t>值得注意的是，这并非孤立观点。CoinDesk此前报道，Polymarket用户曾就Strategy在5月31日前卖出比特币下注，最终争议裁决为“否”。而Kendrick的乐观预期建立在公司行为、ETF结构和市场情绪的三个“如果”之上，这些条件能否全部满足，仍有待下周及未来数周的市场验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原文标题：Standard Chartered's three ‘Ifs’ that stand between bitcoin and a market low</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原文链接：https://www.coindesk.com/daybook-us/2026/06/04/standard-chartered-s-three-ifs-that-stand-between-bitcoin-and-a-market-low</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2026-05-29 13:49 至 2026-06-05 13:49（北京时间，最近7天）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