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美国制裁伊朗关联的比特币保险计划针对霍尔木兹海峡船舶</w:t>
      </w:r>
    </w:p>
    <w:p>
      <w:pPr>
        <w:pStyle w:val="ListParagraph"/>
        <w:spacing w:before="0" w:after="0" w:line="360" w:lineRule="auto"/>
        <w:ind w:left="0" w:firstLine="0"/>
      </w:pPr>
      <w:r>
        <w:rPr>
          <w:rFonts w:ascii="Times New Roman" w:hAnsi="Times New Roman" w:cs="Times New Roman" w:eastAsia="楷体"/>
          <w:b w:val="0"/>
          <w:sz w:val="28"/>
        </w:rPr>
        <w:t>· CFTC提议新规针对拥有自有做市商的交易所</w:t>
      </w:r>
    </w:p>
    <w:p>
      <w:pPr>
        <w:pStyle w:val="ListParagraph"/>
        <w:spacing w:before="0" w:after="0" w:line="360" w:lineRule="auto"/>
        <w:ind w:left="0" w:firstLine="0"/>
      </w:pPr>
      <w:r>
        <w:rPr>
          <w:rFonts w:ascii="Times New Roman" w:hAnsi="Times New Roman" w:cs="Times New Roman" w:eastAsia="楷体"/>
          <w:b w:val="0"/>
          <w:sz w:val="28"/>
        </w:rPr>
        <w:t>· 欧洲央行表示数字欧元应用将超出欧盟无障碍标准</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Coldcard漏洞被指导致500个钱包的3800万美元比特币失窃</w:t>
      </w:r>
    </w:p>
    <w:p>
      <w:pPr>
        <w:pStyle w:val="ListParagraph"/>
        <w:spacing w:before="0" w:after="0" w:line="360" w:lineRule="auto"/>
        <w:ind w:left="0" w:firstLine="0"/>
      </w:pPr>
      <w:r>
        <w:rPr>
          <w:rFonts w:ascii="Times New Roman" w:hAnsi="Times New Roman" w:cs="Times New Roman" w:eastAsia="楷体"/>
          <w:b w:val="0"/>
          <w:sz w:val="28"/>
        </w:rPr>
        <w:t>· RWA永续合约将超越代币化</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Coinbase疲软季报令华尔街对复苏时点看法分歧</w:t>
      </w:r>
    </w:p>
    <w:p>
      <w:pPr>
        <w:pStyle w:val="ListParagraph"/>
        <w:spacing w:before="0" w:after="0" w:line="360" w:lineRule="auto"/>
        <w:ind w:left="0" w:firstLine="0"/>
      </w:pPr>
      <w:r>
        <w:rPr>
          <w:rFonts w:ascii="Times New Roman" w:hAnsi="Times New Roman" w:cs="Times New Roman" w:eastAsia="楷体"/>
          <w:b w:val="0"/>
          <w:sz w:val="28"/>
        </w:rPr>
        <w:t>· Strategy称将继续出售比特币不再将全部新资本用于购买BTC</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STSDigitalCEO加密市场面临三大阻力下一轮牛市需多项催化剂</w:t>
      </w:r>
    </w:p>
    <w:p>
      <w:pPr>
        <w:pStyle w:val="ListParagraph"/>
        <w:spacing w:before="0" w:after="0" w:line="360" w:lineRule="auto"/>
        <w:ind w:left="0" w:firstLine="0"/>
      </w:pPr>
      <w:r>
        <w:rPr>
          <w:rFonts w:ascii="Times New Roman" w:hAnsi="Times New Roman" w:cs="Times New Roman" w:eastAsia="楷体"/>
          <w:b w:val="0"/>
          <w:sz w:val="28"/>
        </w:rPr>
        <w:t>· 美国财政部长援引比特币创造者SatoshiNakamoto名言呼吁通过《清晰法案》</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美国制裁伊朗关联的比特币保险计划针对霍尔木兹海峡船舶</w:t>
      </w:r>
    </w:p>
    <w:p>
      <w:pPr>
        <w:spacing w:before="0" w:after="0" w:line="240" w:lineRule="auto"/>
        <w:ind w:left="0" w:right="0" w:firstLine="0"/>
        <w:jc w:val="both"/>
      </w:pPr>
      <w:r>
        <w:rPr>
          <w:rFonts w:ascii="Times New Roman" w:hAnsi="Times New Roman" w:cs="Times New Roman" w:eastAsia="仿宋"/>
          <w:b w:val="0"/>
          <w:sz w:val="28"/>
        </w:rPr>
        <w:t>· 美国财政部将波斯湾海事保险公司和霍尔木兹安全海事服务管理局列入制裁名单，指控其通过霍尔木兹海峡的“保险”向伊斯兰革命卫队输送资金。</w:t>
      </w:r>
    </w:p>
    <w:p>
      <w:pPr>
        <w:spacing w:before="0" w:after="0" w:line="240" w:lineRule="auto"/>
        <w:ind w:left="0" w:right="0" w:firstLine="0"/>
        <w:jc w:val="both"/>
      </w:pPr>
      <w:r>
        <w:rPr>
          <w:rFonts w:ascii="Times New Roman" w:hAnsi="Times New Roman" w:cs="Times New Roman" w:eastAsia="仿宋"/>
          <w:b w:val="0"/>
          <w:sz w:val="28"/>
        </w:rPr>
        <w:t>· 财政部称，该平台接受比特币和其他数字资产支付，作为伊朗政权试图绕过西方制裁的一部分。</w:t>
      </w:r>
    </w:p>
    <w:p>
      <w:pPr>
        <w:spacing w:before="0" w:after="0" w:line="240" w:lineRule="auto"/>
        <w:ind w:left="0" w:right="0" w:firstLine="0"/>
        <w:jc w:val="both"/>
      </w:pPr>
      <w:r>
        <w:rPr>
          <w:rFonts w:ascii="Times New Roman" w:hAnsi="Times New Roman" w:cs="Times New Roman" w:eastAsia="仿宋"/>
          <w:b w:val="0"/>
          <w:sz w:val="28"/>
        </w:rPr>
        <w:t>· 财政部将这一安排描述为敲诈而非保险，并警告外国公司若与这些实体交易将面临制裁风险。</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美国财政部（U.S. Treasury）对两家伊朗海运保险实体实施制裁，分别是波斯湾海事保险公司（Persian Gulf Marine Insurance Company）和霍尔木兹安全海事服务管理局（HormuzSafe Marine Services Authority，即“霍尔木兹安全”平台）。财政部称，这些公司运营一个敲诈勒索计划，将资金输送给伊斯兰革命卫队（Islamic Revolutionary Guard Corps，IRGC）。</w:t>
      </w:r>
    </w:p>
    <w:p>
      <w:pPr>
        <w:pStyle w:val="正文内容"/>
        <w:spacing w:before="0" w:after="0" w:line="240" w:lineRule="auto"/>
        <w:ind w:left="0" w:right="0" w:firstLine="560"/>
        <w:jc w:val="both"/>
      </w:pPr>
      <w:r>
        <w:rPr>
          <w:rFonts w:ascii="Times New Roman" w:hAnsi="Times New Roman" w:cs="Times New Roman" w:eastAsia="仿宋"/>
          <w:b w:val="0"/>
          <w:sz w:val="28"/>
        </w:rPr>
        <w:t>根据财政部声明，这种所谓保险接受比特币及其他数字资产支付，强制通过霍尔木兹海峡的船只购买覆盖，保险涵盖船只被扣押等风险，而这些风险“绝大多数是伊朗自身制造的”。财政部将这一安排描述为敲诈，而非保险。</w:t>
      </w:r>
    </w:p>
    <w:p>
      <w:pPr>
        <w:pStyle w:val="正文内容"/>
        <w:spacing w:before="0" w:after="0" w:line="240" w:lineRule="auto"/>
        <w:ind w:left="0" w:right="0" w:firstLine="560"/>
        <w:jc w:val="both"/>
      </w:pPr>
      <w:r>
        <w:rPr>
          <w:rFonts w:ascii="Times New Roman" w:hAnsi="Times New Roman" w:cs="Times New Roman" w:eastAsia="仿宋"/>
          <w:b w:val="0"/>
          <w:sz w:val="28"/>
        </w:rPr>
        <w:t>财政部的海外资产控制办公室（Office of Foreign Assets Control，OFAC）将波斯湾海事保险公司和霍尔木兹安全海事服务管理局（即“霍尔木兹安全”平台）列入制裁名单。这两家公司均依据一项覆盖伊朗石油和石化行业的行政命令受到制裁。被列入名单意味着美国人被禁止与这两家公司打交道，与它们交易的外国公司也面临制裁风险。</w:t>
      </w:r>
    </w:p>
    <w:p>
      <w:pPr>
        <w:pStyle w:val="正文内容"/>
        <w:spacing w:before="0" w:after="0" w:line="240" w:lineRule="auto"/>
        <w:ind w:left="0" w:right="0" w:firstLine="560"/>
        <w:jc w:val="both"/>
      </w:pPr>
      <w:r>
        <w:rPr>
          <w:rFonts w:ascii="Times New Roman" w:hAnsi="Times New Roman" w:cs="Times New Roman" w:eastAsia="仿宋"/>
          <w:b w:val="0"/>
          <w:sz w:val="28"/>
        </w:rPr>
        <w:t>财政部声明称，霍尔木兹安全平台由伊朗经济部开发，并“接受比特币和其他数字资产支付，作为该政权试图绕过西方制裁的一部分”。此外，这些保险政策获得波斯湾海峡管理局（Persian Gulf Strait Authority）批准，该机构是伊斯兰革命卫队支持的机构，美国财政部已于5月将其列入制裁名单。声明还表示，以比特币支付与通过银行付款面临相同的制裁风险。</w:t>
      </w:r>
    </w:p>
    <w:p>
      <w:pPr>
        <w:pStyle w:val="正文内容"/>
        <w:spacing w:before="0" w:after="0" w:line="240" w:lineRule="auto"/>
        <w:ind w:left="0" w:right="0" w:firstLine="560"/>
        <w:jc w:val="both"/>
      </w:pPr>
      <w:r>
        <w:rPr>
          <w:rFonts w:ascii="Times New Roman" w:hAnsi="Times New Roman" w:cs="Times New Roman" w:eastAsia="仿宋"/>
          <w:b w:val="0"/>
          <w:sz w:val="28"/>
        </w:rPr>
        <w:t>财政部长斯科特·贝森特（Scott Bessent）在声明中表示：“伊朗经济正在自由落体，通胀达到三位数，该政权急需现金。”霍尔木兹海峡是全球最重要的能源咽喉要道之一，在美国对伊朗进行数周打击期间，通过该海峡的交通减少，油价持续保持高位。</w:t>
      </w:r>
    </w:p>
    <w:p>
      <w:pPr>
        <w:pStyle w:val="正文内容"/>
        <w:spacing w:before="0" w:after="0" w:line="240" w:lineRule="auto"/>
        <w:ind w:left="0" w:right="0" w:firstLine="560"/>
        <w:jc w:val="both"/>
      </w:pPr>
      <w:r>
        <w:rPr>
          <w:rFonts w:ascii="Times New Roman" w:hAnsi="Times New Roman" w:cs="Times New Roman" w:eastAsia="仿宋"/>
          <w:b w:val="0"/>
          <w:sz w:val="28"/>
        </w:rPr>
        <w:t>CoinDesk于5月18日报道了这一计划的存在，依据是与政府有关联的法尔斯通讯社的报道，其中描述了伊朗经济部提出的通过比特币结算的海运保险单来管理霍尔木兹海峡航运的提议。</w:t>
      </w:r>
    </w:p>
    <w:p>
      <w:pPr>
        <w:pStyle w:val="正文内容"/>
        <w:spacing w:before="0" w:after="0" w:line="240" w:lineRule="auto"/>
        <w:ind w:left="0" w:right="0" w:firstLine="560"/>
        <w:jc w:val="both"/>
      </w:pPr>
      <w:r>
        <w:rPr>
          <w:rFonts w:ascii="Times New Roman" w:hAnsi="Times New Roman" w:cs="Times New Roman" w:eastAsia="仿宋"/>
          <w:b w:val="0"/>
          <w:sz w:val="28"/>
        </w:rPr>
        <w:t>当时平台网站仅显示一个着陆页，CoinDesk无法核实该平台是否已投入运营，也无法确认是否有货主使用过。法尔斯通讯社称，该模式可能带来超过100亿美元的收入，但未说明这一数字是如何得出的。</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原文标题：U.S. sanctions Iran-linked bitcoin insurance scheme for Strait of Hormuz ships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原文链接：https://www.coindesk.com/policy/2026/07/31/u-s-sanctions-iran-linked-bitcoin-insurance-scheme-for-strait-of-hormuz-ships</w:t>
      </w:r>
    </w:p>
    <w:p/>
    <w:p>
      <w:pPr>
        <w:pStyle w:val="文章一级标题"/>
        <w:spacing w:before="0" w:after="0" w:line="240" w:lineRule="auto"/>
        <w:ind w:left="0" w:right="0" w:firstLine="0"/>
        <w:jc w:val="center"/>
      </w:pPr>
      <w:r>
        <w:rPr>
          <w:rFonts w:ascii="Times New Roman" w:hAnsi="Times New Roman" w:cs="Times New Roman" w:eastAsia="黑体"/>
          <w:b w:val="0"/>
          <w:sz w:val="30"/>
        </w:rPr>
        <w:t>CFTC提议新规针对拥有自有做市商的交易所</w:t>
      </w:r>
    </w:p>
    <w:p>
      <w:pPr>
        <w:spacing w:before="0" w:after="0" w:line="240" w:lineRule="auto"/>
        <w:ind w:left="0" w:right="0" w:firstLine="0"/>
        <w:jc w:val="both"/>
      </w:pPr>
      <w:r>
        <w:rPr>
          <w:rFonts w:ascii="Times New Roman" w:hAnsi="Times New Roman" w:cs="Times New Roman" w:eastAsia="仿宋"/>
          <w:b w:val="0"/>
          <w:sz w:val="28"/>
        </w:rPr>
        <w:t>· 美国商品期货交易委员会（CFTC）于本周四提议规则，针对同一企业集团同时拥有交易所、清算所和做市商或交易商的垂直整合模式。</w:t>
      </w:r>
    </w:p>
    <w:p>
      <w:pPr>
        <w:spacing w:before="0" w:after="0" w:line="240" w:lineRule="auto"/>
        <w:ind w:left="0" w:right="0" w:firstLine="0"/>
        <w:jc w:val="both"/>
      </w:pPr>
      <w:r>
        <w:rPr>
          <w:rFonts w:ascii="Times New Roman" w:hAnsi="Times New Roman" w:cs="Times New Roman" w:eastAsia="仿宋"/>
          <w:b w:val="0"/>
          <w:sz w:val="28"/>
        </w:rPr>
        <w:t>· 提案将限制关联做市商获取非公开信息，禁止其获得优惠待遇，并要求人员、技术与办公空间分离；还拟规定公司可在自有交易所拥有做市商，但不能拥有自营交易公司。</w:t>
      </w:r>
    </w:p>
    <w:p>
      <w:pPr>
        <w:spacing w:before="0" w:after="0" w:line="240" w:lineRule="auto"/>
        <w:ind w:left="0" w:right="0" w:firstLine="0"/>
        <w:jc w:val="both"/>
      </w:pPr>
      <w:r>
        <w:rPr>
          <w:rFonts w:ascii="Times New Roman" w:hAnsi="Times New Roman" w:cs="Times New Roman" w:eastAsia="仿宋"/>
          <w:b w:val="0"/>
          <w:sz w:val="28"/>
        </w:rPr>
        <w:t>· Coinbase、Kraken和Polymarket均采用该模式；Coinbase曾在一份11月提交的文件中敦促保留垂直整合，认为一体化平台能提高效率。</w:t>
      </w:r>
    </w:p>
    <w:p>
      <w:pPr>
        <w:pStyle w:val="正文内容"/>
        <w:spacing w:before="0" w:after="0" w:line="240" w:lineRule="auto"/>
        <w:ind w:left="0" w:right="0" w:firstLine="560"/>
        <w:jc w:val="both"/>
      </w:pPr>
      <w:r>
        <w:rPr>
          <w:rFonts w:ascii="Times New Roman" w:hAnsi="Times New Roman" w:cs="Times New Roman" w:eastAsia="仿宋"/>
          <w:b w:val="0"/>
          <w:sz w:val="28"/>
        </w:rPr>
        <w:t>美国商品期货交易委员会（Commodity Futures Trading Commission，CFTC）于本周四提议规则，旨在解决关联受监管实体之间的利益冲突，针对的是垂直整合模式——即单一企业集团同时拥有交易所、清算所和在该交易所活跃的做市商或交易商。这种结构在传统衍生品市场中并不罕见，但被严格隔离；而在加密领域，最大平台自建立之初便拥有整个业务堆栈。</w:t>
      </w:r>
    </w:p>
    <w:p>
      <w:pPr>
        <w:pStyle w:val="正文内容"/>
        <w:spacing w:before="0" w:after="0" w:line="240" w:lineRule="auto"/>
        <w:ind w:left="0" w:right="0" w:firstLine="560"/>
        <w:jc w:val="both"/>
      </w:pPr>
      <w:r>
        <w:rPr>
          <w:rFonts w:ascii="Times New Roman" w:hAnsi="Times New Roman" w:cs="Times New Roman" w:eastAsia="仿宋"/>
          <w:b w:val="0"/>
          <w:sz w:val="28"/>
        </w:rPr>
        <w:t>规则意见征求涉及CFTC条例第37、38和39部分的修订，涵盖掉期执行设施（swap execution facility）、指定合约市场（designated contract market）和衍生品清算组织（derivatives clearing organization），以及条例1.52和1.55。提案将限制关联做市商获取交易所的非公开信息，如订单流、客户头寸和即将进行的规则变更；禁止其在费用、匹配优先级或准入方面获得优待；并要求交易所与关联交易部门在人员、技术和办公空间上分离。拟议条例38.852(b)更划出硬线：公司可在自己的交易所拥有做市商，但不能拥有自营交易公司。</w:t>
      </w:r>
    </w:p>
    <w:p>
      <w:pPr>
        <w:pStyle w:val="正文内容"/>
        <w:spacing w:before="0" w:after="0" w:line="240" w:lineRule="auto"/>
        <w:ind w:left="0" w:right="0" w:firstLine="560"/>
        <w:jc w:val="both"/>
      </w:pPr>
      <w:r>
        <w:rPr>
          <w:rFonts w:ascii="Times New Roman" w:hAnsi="Times New Roman" w:cs="Times New Roman" w:eastAsia="仿宋"/>
          <w:b w:val="0"/>
          <w:sz w:val="28"/>
        </w:rPr>
        <w:t>CFTC将此举定性为赋能而非限制。主席Michael Selig表示：“通过为垂直整合市场结构制定基于原则的法规，CFTC正朝着支持负责任创新迈出重要一步。”他称这些规则是“量身定制的道路规则”，旨在加强市场诚信，“同时不扼杀新颖的市场结构”。提案还修改了自我监管组织对期货经销商财务监督的规则，并要求更充分地披露关联关系。</w:t>
      </w:r>
    </w:p>
    <w:p>
      <w:pPr>
        <w:pStyle w:val="正文内容"/>
        <w:spacing w:before="0" w:after="0" w:line="240" w:lineRule="auto"/>
        <w:ind w:left="0" w:right="0" w:firstLine="560"/>
        <w:jc w:val="both"/>
      </w:pPr>
      <w:r>
        <w:rPr>
          <w:rFonts w:ascii="Times New Roman" w:hAnsi="Times New Roman" w:cs="Times New Roman" w:eastAsia="仿宋"/>
          <w:b w:val="0"/>
          <w:sz w:val="28"/>
        </w:rPr>
        <w:t>该规则针对的问题具有结构性。交易所负责监管自有市场，包括执行交易规则、监督操纵和保护客户资金；清算所管理风险，并可能对会员行使裁量权。当被监管方（做市商或交易商）与监管方属于同一企业家族时，公正执法的激励会直接违背企业集团的商业利益。这正是传统金融长期分离这些职能的原因。一名CFTC专员此前在关联程序中引用《总统经济报告》指出，将交易所、经纪、做市和清算功能结合“在传统市场长期被禁止，并给客户带来风险”。</w:t>
      </w:r>
    </w:p>
    <w:p>
      <w:pPr>
        <w:pStyle w:val="正文内容"/>
        <w:spacing w:before="0" w:after="0" w:line="240" w:lineRule="auto"/>
        <w:ind w:left="0" w:right="0" w:firstLine="560"/>
        <w:jc w:val="both"/>
      </w:pPr>
      <w:r>
        <w:rPr>
          <w:rFonts w:ascii="Times New Roman" w:hAnsi="Times New Roman" w:cs="Times New Roman" w:eastAsia="仿宋"/>
          <w:b w:val="0"/>
          <w:sz w:val="28"/>
        </w:rPr>
        <w:t>提案没有点名公司，但其描述的结构直接对应最大的加密平台。Coinbase、Kraken和Polymarket（后者通过收购CFTC注册交易所QCEX）均运营某种整合模式。Coinbase尤其已表明立场：在回应总统工作组的11月文件中，该公司敦促保留数字资产市场的垂直整合，认为提供交易、托管和结算的一体化平台能为客户带来效率，应在现有规则内适应，而非拆分。本次提案显示CFTC打算允许该模式，但隔离其冲突，在全面禁止与不加监管之间取中间路线。</w:t>
      </w:r>
    </w:p>
    <w:p>
      <w:pPr>
        <w:pStyle w:val="正文内容"/>
        <w:spacing w:before="0" w:after="0" w:line="240" w:lineRule="auto"/>
        <w:ind w:left="0" w:right="0" w:firstLine="560"/>
        <w:jc w:val="both"/>
      </w:pPr>
      <w:r>
        <w:rPr>
          <w:rFonts w:ascii="Times New Roman" w:hAnsi="Times New Roman" w:cs="Times New Roman" w:eastAsia="仿宋"/>
          <w:b w:val="0"/>
          <w:sz w:val="28"/>
        </w:rPr>
        <w:t>规则制定正值CFTC对同类公司采取更广泛行动。7月下旬，该机构要求Kalshi和Polymarket停止通过大规模自我认证批量提交合约，并正在捍卫其对体育赛事事件合约的管辖权，以应对44个州总检察长的挑战。此次利益冲突提案是对这些平台制定规则的另一战线。</w:t>
      </w:r>
    </w:p>
    <w:p>
      <w:pPr>
        <w:pStyle w:val="正文内容"/>
        <w:spacing w:before="0" w:after="0" w:line="240" w:lineRule="auto"/>
        <w:ind w:left="0" w:right="0" w:firstLine="560"/>
        <w:jc w:val="both"/>
      </w:pPr>
      <w:r>
        <w:rPr>
          <w:rFonts w:ascii="Times New Roman" w:hAnsi="Times New Roman" w:cs="Times New Roman" w:eastAsia="仿宋"/>
          <w:b w:val="0"/>
          <w:sz w:val="28"/>
        </w:rPr>
        <w:t>评论将在拟议规则于《联邦公报》公布后60天截止，公告发布时尚未公布，具体日期将由公报通知设定。与此同时，Coinbase预计参议院最早于8月3日（周一）就CLARITY法案投票，该法案将确立美国证券交易委员会（SEC）与CFTC对数字资产的法定分权。</w:t>
      </w:r>
    </w:p>
    <w:p>
      <w:pPr>
        <w:pStyle w:val="正文内容"/>
        <w:spacing w:before="0" w:after="0" w:line="240" w:lineRule="auto"/>
        <w:ind w:left="0" w:right="0" w:firstLine="560"/>
        <w:jc w:val="both"/>
      </w:pPr>
      <w:r>
        <w:rPr>
          <w:rFonts w:ascii="Times New Roman" w:hAnsi="Times New Roman" w:cs="Times New Roman" w:eastAsia="仿宋"/>
          <w:b w:val="0"/>
          <w:sz w:val="28"/>
        </w:rPr>
        <w:t>若法案通过，两项努力将汇聚成单一框架；若再次停滞，CFTC的规则制定将成为定义加密市场结构的主要途径。该机构选择不等待。无论何种结果，那些以拥有整个堆栈为基础的企业，在时钟启动后有60天时间争取保留这一模式。</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原文标题：The CFTC Just Proposed Rules for the Exchanges That Own Their Own Market Makers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原文链接：https://financefeeds.com/cftc-vertical-integration-conflicts-rule-crypto/</w:t>
      </w:r>
    </w:p>
    <w:p/>
    <w:p>
      <w:pPr>
        <w:pStyle w:val="文章一级标题"/>
        <w:spacing w:before="0" w:after="0" w:line="240" w:lineRule="auto"/>
        <w:ind w:left="0" w:right="0" w:firstLine="0"/>
        <w:jc w:val="center"/>
      </w:pPr>
      <w:r>
        <w:rPr>
          <w:rFonts w:ascii="Times New Roman" w:hAnsi="Times New Roman" w:cs="Times New Roman" w:eastAsia="黑体"/>
          <w:b w:val="0"/>
          <w:sz w:val="30"/>
        </w:rPr>
        <w:t>欧洲央行表示数字欧元应用将超出欧盟无障碍标准</w:t>
      </w:r>
    </w:p>
    <w:p>
      <w:pPr>
        <w:spacing w:before="0" w:after="0" w:line="240" w:lineRule="auto"/>
        <w:ind w:left="0" w:right="0" w:firstLine="0"/>
        <w:jc w:val="both"/>
      </w:pPr>
      <w:r>
        <w:rPr>
          <w:rFonts w:ascii="Times New Roman" w:hAnsi="Times New Roman" w:cs="Times New Roman" w:eastAsia="仿宋"/>
          <w:b w:val="0"/>
          <w:sz w:val="28"/>
        </w:rPr>
        <w:t>· 欧洲央行（ECB）周四表示，其计划中的数字欧元应用将超出《欧洲无障碍法案》的访问要求，并公布了具体无障碍设计。</w:t>
      </w:r>
    </w:p>
    <w:p>
      <w:pPr>
        <w:spacing w:before="0" w:after="0" w:line="240" w:lineRule="auto"/>
        <w:ind w:left="0" w:right="0" w:firstLine="0"/>
        <w:jc w:val="both"/>
      </w:pPr>
      <w:r>
        <w:rPr>
          <w:rFonts w:ascii="Times New Roman" w:hAnsi="Times New Roman" w:cs="Times New Roman" w:eastAsia="仿宋"/>
          <w:b w:val="0"/>
          <w:sz w:val="28"/>
        </w:rPr>
        <w:t>· 2025年10月的一份进展报告称，该数字欧元应用可在银行应用失灵时作为备用，但银行和非银行支付服务提供商均反对强制支持。</w:t>
      </w:r>
    </w:p>
    <w:p>
      <w:pPr>
        <w:spacing w:before="0" w:after="0" w:line="240" w:lineRule="auto"/>
        <w:ind w:left="0" w:right="0" w:firstLine="0"/>
        <w:jc w:val="both"/>
      </w:pPr>
      <w:r>
        <w:rPr>
          <w:rFonts w:ascii="Times New Roman" w:hAnsi="Times New Roman" w:cs="Times New Roman" w:eastAsia="仿宋"/>
          <w:b w:val="0"/>
          <w:sz w:val="28"/>
        </w:rPr>
        <w:t>· 7月14日，ECB选定36家支付服务提供商参与12个月试点，试点拟于2027年下半年启动，将在发行决定前测试系统。</w:t>
      </w:r>
    </w:p>
    <w:p>
      <w:pPr>
        <w:pStyle w:val="正文内容"/>
        <w:spacing w:before="0" w:after="0" w:line="240" w:lineRule="auto"/>
        <w:ind w:left="0" w:right="0" w:firstLine="560"/>
        <w:jc w:val="both"/>
      </w:pPr>
      <w:r>
        <w:rPr>
          <w:rFonts w:ascii="Times New Roman" w:hAnsi="Times New Roman" w:cs="Times New Roman" w:eastAsia="仿宋"/>
          <w:b w:val="0"/>
          <w:sz w:val="28"/>
        </w:rPr>
        <w:t>欧洲央行（ECB）周四表示，其计划中的数字欧元应用将超出《欧洲无障碍法案》的访问要求，并称该应用是用户访问基本数字欧元服务的几种方式之一。欧洲央行在声明中列出了包括增强视觉设计、全键盘导航、屏幕阅读器支持、超时警告、简化语言、错误预防和减少动态效果在内的多项无障碍功能。该独立应用最早在2025年10月的进展报告中披露，可用作银行应用失灵时的备用方案，并允许用户更换服务商而无需重新学习。报告同时显示，银行与非银行支付服务提供商均反对强制支持该应用。7月14日，欧洲央行选定36家支付服务提供商参与2027年下半年启动的12个月试点，以在发行决定前测试系统。数字欧元招致部分隐私倡导者和立法者的批评，他们认为其可能加强政府监控；欧洲央行则承诺包含隐私保护措施。</w:t>
      </w:r>
    </w:p>
    <w:p>
      <w:pPr>
        <w:pStyle w:val="正文内容"/>
        <w:spacing w:before="0" w:after="0" w:line="240" w:lineRule="auto"/>
        <w:ind w:left="0" w:right="0" w:firstLine="560"/>
        <w:jc w:val="both"/>
      </w:pPr>
      <w:r>
        <w:rPr>
          <w:rFonts w:ascii="Times New Roman" w:hAnsi="Times New Roman" w:cs="Times New Roman" w:eastAsia="仿宋"/>
          <w:b w:val="0"/>
          <w:sz w:val="28"/>
        </w:rPr>
        <w:t>欧洲央行（ECB）周四在声明中表示，其计划中的数字欧元应用将超出《欧洲无障碍法案》的访问要求。欧洲央行称，该应用是用户访问基本数字欧元服务的几种方式之一。声明中提出的无障碍设计包括增强视觉设计、全键盘导航、屏幕阅读器支持、超时警告、简化语言、错误预防和减少动态效果等。</w:t>
      </w:r>
    </w:p>
    <w:p>
      <w:pPr>
        <w:pStyle w:val="正文内容"/>
        <w:spacing w:before="0" w:after="0" w:line="240" w:lineRule="auto"/>
        <w:ind w:left="0" w:right="0" w:firstLine="560"/>
        <w:jc w:val="both"/>
      </w:pPr>
      <w:r>
        <w:rPr>
          <w:rFonts w:ascii="Times New Roman" w:hAnsi="Times New Roman" w:cs="Times New Roman" w:eastAsia="仿宋"/>
          <w:b w:val="0"/>
          <w:sz w:val="28"/>
        </w:rPr>
        <w:t>2025年10月，欧洲央行发布了一份进展报告，首次介绍了这款独立的数字欧元应用。报告称，该应用能够在银行应用失灵时充当备用手段，并允许用户在更换支付服务提供商时无需学习新的应用界面。报告还显示，银行与非银行支付服务提供商均反对将支持这款独立应用设为强制性要求。</w:t>
      </w:r>
    </w:p>
    <w:p>
      <w:pPr>
        <w:pStyle w:val="正文内容"/>
        <w:spacing w:before="0" w:after="0" w:line="240" w:lineRule="auto"/>
        <w:ind w:left="0" w:right="0" w:firstLine="560"/>
        <w:jc w:val="both"/>
      </w:pPr>
      <w:r>
        <w:rPr>
          <w:rFonts w:ascii="Times New Roman" w:hAnsi="Times New Roman" w:cs="Times New Roman" w:eastAsia="仿宋"/>
          <w:b w:val="0"/>
          <w:sz w:val="28"/>
        </w:rPr>
        <w:t>数字欧元是欧盟提议的中央银行数字货币（CBDC），旨在补充现金，为整个欧元区提供公共数字支付选项。这款应用将作为用户获取数字欧元服务的多种途径之一。欧洲央行已公布了该应用的无障碍设计，声称其将高于欧盟标准。</w:t>
      </w:r>
    </w:p>
    <w:p>
      <w:pPr>
        <w:pStyle w:val="正文内容"/>
        <w:spacing w:before="0" w:after="0" w:line="240" w:lineRule="auto"/>
        <w:ind w:left="0" w:right="0" w:firstLine="560"/>
        <w:jc w:val="both"/>
      </w:pPr>
      <w:r>
        <w:rPr>
          <w:rFonts w:ascii="Times New Roman" w:hAnsi="Times New Roman" w:cs="Times New Roman" w:eastAsia="仿宋"/>
          <w:b w:val="0"/>
          <w:sz w:val="28"/>
        </w:rPr>
        <w:t>7月14日，欧洲央行选定36家支付服务提供商参与一项为期12个月的试点项目。该试点定于2027年下半年启动，将在作出发行决定之前对系统进行测试。</w:t>
      </w:r>
    </w:p>
    <w:p>
      <w:pPr>
        <w:pStyle w:val="正文内容"/>
        <w:spacing w:before="0" w:after="0" w:line="240" w:lineRule="auto"/>
        <w:ind w:left="0" w:right="0" w:firstLine="560"/>
        <w:jc w:val="both"/>
      </w:pPr>
      <w:r>
        <w:rPr>
          <w:rFonts w:ascii="Times New Roman" w:hAnsi="Times New Roman" w:cs="Times New Roman" w:eastAsia="仿宋"/>
          <w:b w:val="0"/>
          <w:sz w:val="28"/>
        </w:rPr>
        <w:t>数字欧元也招致了部分隐私倡导者和立法者的批评，他们认为CBDC可能使政府对支付的监控更加便利。欧洲央行回应称，数字欧元将包含隐私保护措施。</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原文标题：ECB says digital euro app will exceed EU accessibility standards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原文链接：https://cointelegraph.com/news/ecb-digital-euros-accessibility-payment-providers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Coldcard漏洞被指导致500个钱包的3800万美元比特币失窃</w:t>
      </w:r>
    </w:p>
    <w:p>
      <w:pPr>
        <w:spacing w:before="0" w:after="0" w:line="240" w:lineRule="auto"/>
        <w:ind w:left="0" w:right="0" w:firstLine="0"/>
        <w:jc w:val="both"/>
      </w:pPr>
      <w:r>
        <w:rPr>
          <w:rFonts w:ascii="Times New Roman" w:hAnsi="Times New Roman" w:cs="Times New Roman" w:eastAsia="仿宋"/>
          <w:b w:val="0"/>
          <w:sz w:val="28"/>
        </w:rPr>
        <w:t>· 约594枚比特币（约3800万美元）从约500个钱包中被盗，攻击发生在UTC时间01：31至01：56，涉及三个比特币区块内的500笔交易。</w:t>
      </w:r>
    </w:p>
    <w:p>
      <w:pPr>
        <w:spacing w:before="0" w:after="0" w:line="240" w:lineRule="auto"/>
        <w:ind w:left="0" w:right="0" w:firstLine="0"/>
        <w:jc w:val="both"/>
      </w:pPr>
      <w:r>
        <w:rPr>
          <w:rFonts w:ascii="Times New Roman" w:hAnsi="Times New Roman" w:cs="Times New Roman" w:eastAsia="仿宋"/>
          <w:b w:val="0"/>
          <w:sz w:val="28"/>
        </w:rPr>
        <w:t>· Block的比特币工程与安全团队发现，Coldcard固件中的一个构建设置导致设备绕过硬件随机数生成器，转而使用基于芯片序列号和内部时钟寄存器种子的弱软件替代品。</w:t>
      </w:r>
    </w:p>
    <w:p>
      <w:pPr>
        <w:spacing w:before="0" w:after="0" w:line="240" w:lineRule="auto"/>
        <w:ind w:left="0" w:right="0" w:firstLine="0"/>
        <w:jc w:val="both"/>
      </w:pPr>
      <w:r>
        <w:rPr>
          <w:rFonts w:ascii="Times New Roman" w:hAnsi="Times New Roman" w:cs="Times New Roman" w:eastAsia="仿宋"/>
          <w:b w:val="0"/>
          <w:sz w:val="28"/>
        </w:rPr>
        <w:t>· Coinkite和Block均将调查结果描述为初步，暴露程度取决于创建钱包种子时运行的固件，更新设备无法修复已由弱随机性生成的种子。</w:t>
      </w:r>
    </w:p>
    <w:p>
      <w:pPr>
        <w:pStyle w:val="正文内容"/>
        <w:spacing w:before="0" w:after="0" w:line="240" w:lineRule="auto"/>
        <w:ind w:left="0" w:right="0" w:firstLine="560"/>
        <w:jc w:val="both"/>
      </w:pPr>
      <w:r>
        <w:rPr>
          <w:rFonts w:ascii="Times New Roman" w:hAnsi="Times New Roman" w:cs="Times New Roman" w:eastAsia="仿宋"/>
          <w:b w:val="0"/>
          <w:sz w:val="28"/>
        </w:rPr>
        <w:t>约594枚比特币（Bitcoin，BTC）——价值约3800万美元——在周五早些时候从约500个钱包中被移除，攻击事件与Coldcard硬件钱包特定固件版本中的弱密钥生成有关。盗窃发生在UTC时间01：31至01：56之间，攻击者在三个比特币区块内将1324份比特币分500笔交易转移。约562枚比特币后来被合并到一个地址，截至报告时该地址未发生移动。</w:t>
      </w:r>
    </w:p>
    <w:p>
      <w:pPr>
        <w:pStyle w:val="正文内容"/>
        <w:spacing w:before="0" w:after="0" w:line="240" w:lineRule="auto"/>
        <w:ind w:left="0" w:right="0" w:firstLine="560"/>
        <w:jc w:val="both"/>
      </w:pPr>
      <w:r>
        <w:rPr>
          <w:rFonts w:ascii="Times New Roman" w:hAnsi="Times New Roman" w:cs="Times New Roman" w:eastAsia="仿宋"/>
          <w:b w:val="0"/>
          <w:sz w:val="28"/>
        </w:rPr>
        <w:t>所有被掏空的钱包均采用单签名（single-signature）设置，且持有超过0.15 BTC。许多钱包已保持非活跃状态多年，而被盗代币的时间跨度从2021年到2026年，与易受攻击固件可用的时期高度吻合。比特币在亚洲早盘时段交易价格仍高于64000美元，表明该事件对整体市场几乎没有立即影响。</w:t>
      </w:r>
    </w:p>
    <w:p>
      <w:pPr>
        <w:pStyle w:val="正文内容"/>
        <w:spacing w:before="0" w:after="0" w:line="240" w:lineRule="auto"/>
        <w:ind w:left="0" w:right="0" w:firstLine="560"/>
        <w:jc w:val="both"/>
      </w:pPr>
      <w:r>
        <w:rPr>
          <w:rFonts w:ascii="Times New Roman" w:hAnsi="Times New Roman" w:cs="Times New Roman" w:eastAsia="仿宋"/>
          <w:b w:val="0"/>
          <w:sz w:val="28"/>
        </w:rPr>
        <w:t>Coldcard是加拿大制造商Coinkite生产的比特币专用硬件钱包。其Mk2、Mk3、Mk4、Q和Mk5设备是世代产品，设计用于在远离互联网连接计算机的环境中创建和存储私钥。钱包种子应通过足够多的随机信息生成，使攻击者无法实际重建。Block的比特币工程与安全团队发现，一个固件构建设置导致受影响的Coldcard设备绕过了其硬件随机数生成器。</w:t>
      </w:r>
    </w:p>
    <w:p>
      <w:pPr>
        <w:pStyle w:val="正文内容"/>
        <w:spacing w:before="0" w:after="0" w:line="240" w:lineRule="auto"/>
        <w:ind w:left="0" w:right="0" w:firstLine="560"/>
        <w:jc w:val="both"/>
      </w:pPr>
      <w:r>
        <w:rPr>
          <w:rFonts w:ascii="Times New Roman" w:hAnsi="Times New Roman" w:cs="Times New Roman" w:eastAsia="仿宋"/>
          <w:b w:val="0"/>
          <w:sz w:val="28"/>
        </w:rPr>
        <w:t>一个配套软件库只检查该设置是否存在，而非检查它是否已启用。设备随后依赖一种以芯片序列号和内部时钟寄存器为种子的较弱软件替代品。这些输入并非秘密。序列号是固定的设备元数据，而时钟值可通过时序分析或在类似硬件上测试来缩小范围。能够重建这些输入的攻击者可以减少候选钱包种子的数量，足以识别易受攻击的地址并窃取资金。</w:t>
      </w:r>
    </w:p>
    <w:p>
      <w:pPr>
        <w:pStyle w:val="正文内容"/>
        <w:spacing w:before="0" w:after="0" w:line="240" w:lineRule="auto"/>
        <w:ind w:left="0" w:right="0" w:firstLine="560"/>
        <w:jc w:val="both"/>
      </w:pPr>
      <w:r>
        <w:rPr>
          <w:rFonts w:ascii="Times New Roman" w:hAnsi="Times New Roman" w:cs="Times New Roman" w:eastAsia="仿宋"/>
          <w:b w:val="0"/>
          <w:sz w:val="28"/>
        </w:rPr>
        <w:t>该变更被追溯到2021年3月1日的代码，并于当月发布的固件中引入。暴露程度取决于钱包种子创建时运行的固件，而非Coldcard设备的购买时间，也不取决于种子是否后来导入另一个钱包。更新设备并不能修复使用弱随机性生成的种子。受影响用户需要使用已修复的软件创建新种子，并将其比特币转移到该新种子控制的地址。</w:t>
      </w:r>
    </w:p>
    <w:p>
      <w:pPr>
        <w:pStyle w:val="正文内容"/>
        <w:spacing w:before="0" w:after="0" w:line="240" w:lineRule="auto"/>
        <w:ind w:left="0" w:right="0" w:firstLine="560"/>
        <w:jc w:val="both"/>
      </w:pPr>
      <w:r>
        <w:rPr>
          <w:rFonts w:ascii="Times New Roman" w:hAnsi="Times New Roman" w:cs="Times New Roman" w:eastAsia="仿宋"/>
          <w:b w:val="0"/>
          <w:sz w:val="28"/>
        </w:rPr>
        <w:t>Coinkite最初警告了在Mk3上使用固件版本4.0.1或更高版本创建种子的用户。早期分析称Mk4、Q和Mk5设备不受影响，但后来的指南警告说，在这些型号上于相关固件修复前生成的种子也可能面临风险。Coinkite和Block都将他们的发现描述为初步。Block表示，由于钱包被掏空已经发生，它在完成全面可利用性测试之前就向Coinkite披露了问题并发布了报告。</w:t>
      </w:r>
    </w:p>
    <w:p>
      <w:pPr>
        <w:pStyle w:val="正文内容"/>
        <w:spacing w:before="0" w:after="0" w:line="240" w:lineRule="auto"/>
        <w:ind w:left="0" w:right="0" w:firstLine="560"/>
        <w:jc w:val="both"/>
      </w:pPr>
      <w:r>
        <w:rPr>
          <w:rFonts w:ascii="Times New Roman" w:hAnsi="Times New Roman" w:cs="Times New Roman" w:eastAsia="仿宋"/>
          <w:b w:val="0"/>
          <w:sz w:val="28"/>
        </w:rPr>
        <w:t>该问题可能超出标准恢复短语的范围。据报道，同样的弱生成器还被用于Coldcard纸钱包私钥、种子分割掩码、设备克隆密钥和Key Teleport转账。纸钱包可能面临更大的暴露，因为生成的输出可以直接成为私钥，无需额外的派生步骤。将易受攻击的Coldcard种子导入另一个硬件或软件钱包的用户仍然暴露于此风险中。</w:t>
      </w:r>
    </w:p>
    <w:p>
      <w:pPr>
        <w:pStyle w:val="正文内容"/>
        <w:spacing w:before="0" w:after="0" w:line="240" w:lineRule="auto"/>
        <w:ind w:left="0" w:right="0" w:firstLine="560"/>
        <w:jc w:val="both"/>
      </w:pPr>
      <w:r>
        <w:rPr>
          <w:rFonts w:ascii="Times New Roman" w:hAnsi="Times New Roman" w:cs="Times New Roman" w:eastAsia="仿宋"/>
          <w:b w:val="0"/>
          <w:sz w:val="28"/>
        </w:rPr>
        <w:t>将同一种子转移到Trezor、Blockstream、Foundation、Tangem或其他设备并不会创建新的私钥。资金仍由原始受损种子控制，直到它们被发送到新生成的钱包。这次攻击表明，当密钥本身由可预测输入创建时，将密钥离线保存在硬件钱包中并不能保护资金。硬件钱包降低了对恶意软件和远程盗窃的暴露，但其安全仍取决于正确的固件、值得信赖的随机数生成以及对加密代码的仔细审查。</w:t>
      </w:r>
    </w:p>
    <w:p>
      <w:pPr>
        <w:pStyle w:val="正文内容"/>
        <w:spacing w:before="0" w:after="0" w:line="240" w:lineRule="auto"/>
        <w:ind w:left="0" w:right="0" w:firstLine="560"/>
        <w:jc w:val="both"/>
      </w:pPr>
      <w:r>
        <w:rPr>
          <w:rFonts w:ascii="Times New Roman" w:hAnsi="Times New Roman" w:cs="Times New Roman" w:eastAsia="仿宋"/>
          <w:b w:val="0"/>
          <w:sz w:val="28"/>
        </w:rPr>
        <w:t>Coinkite表示，它此前对该漏洞并不知情，并推测攻击者可能使用了先进的人工智能（artificial intelligence，AI）模型来检查旧的开源固件。没有公开证据证实使用了人工智能，该公司也承认其自己最近的AI辅助审查没有发现该缺陷。该事件可能增加对开源硬件钱包代码、软件构建设置和独立安全审计的审查。</w:t>
      </w:r>
    </w:p>
    <w:p>
      <w:pPr>
        <w:pStyle w:val="正文内容"/>
        <w:spacing w:before="0" w:after="0" w:line="240" w:lineRule="auto"/>
        <w:ind w:left="0" w:right="0" w:firstLine="560"/>
        <w:jc w:val="both"/>
      </w:pPr>
      <w:r>
        <w:rPr>
          <w:rFonts w:ascii="Times New Roman" w:hAnsi="Times New Roman" w:cs="Times New Roman" w:eastAsia="仿宋"/>
          <w:b w:val="0"/>
          <w:sz w:val="28"/>
        </w:rPr>
        <w:t>该事件也加强了在持有大量比特币时使用多重签名（multisignature）存储的理由。多重签名钱包可以要求三把独立密钥中的两把来批准交易，使用不同制造商的设备减少了一个固件缺陷暴露移动资金所需所有密钥的机会。Coldcard用户现在面临两个问题：他们的种子是否使用受影响的固件创建，以及攻击者是否仍在识别易受攻击的钱包。已确认的盗窃目前不再移动，但如果私钥是通过同样有缺陷的过程生成的，未变更的资金仍面临风险。</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原文标题：Coldcard Flaw Blamed for $38 Million Bitcoin Theft From 500 Wallets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原文链接：https://financefeeds.com/coldcard-flaw-blamed-for-38-million-bitcoin-theft-from-500-wallets/</w:t>
      </w:r>
    </w:p>
    <w:p/>
    <w:p>
      <w:pPr>
        <w:pStyle w:val="文章一级标题"/>
        <w:spacing w:before="0" w:after="0" w:line="240" w:lineRule="auto"/>
        <w:ind w:left="0" w:right="0" w:firstLine="0"/>
        <w:jc w:val="center"/>
      </w:pPr>
      <w:r>
        <w:rPr>
          <w:rFonts w:ascii="Times New Roman" w:hAnsi="Times New Roman" w:cs="Times New Roman" w:eastAsia="黑体"/>
          <w:b w:val="0"/>
          <w:sz w:val="30"/>
        </w:rPr>
        <w:t>RWA永续合约将超越代币化</w:t>
      </w:r>
    </w:p>
    <w:p>
      <w:pPr>
        <w:spacing w:before="0" w:after="0" w:line="240" w:lineRule="auto"/>
        <w:ind w:left="0" w:right="0" w:firstLine="0"/>
        <w:jc w:val="both"/>
      </w:pPr>
      <w:r>
        <w:rPr>
          <w:rFonts w:ascii="Times New Roman" w:hAnsi="Times New Roman" w:cs="Times New Roman" w:eastAsia="仿宋"/>
          <w:b w:val="0"/>
          <w:sz w:val="28"/>
        </w:rPr>
        <w:t>· RWA永续合约5月交易量达3470亿美元，较2025年初的2.3亿美元增长1472倍；DEX日未平仓量于7月创新高至45亿美元。</w:t>
      </w:r>
    </w:p>
    <w:p>
      <w:pPr>
        <w:spacing w:before="0" w:after="0" w:line="240" w:lineRule="auto"/>
        <w:ind w:left="0" w:right="0" w:firstLine="0"/>
        <w:jc w:val="both"/>
      </w:pPr>
      <w:r>
        <w:rPr>
          <w:rFonts w:ascii="Times New Roman" w:hAnsi="Times New Roman" w:cs="Times New Roman" w:eastAsia="仿宋"/>
          <w:b w:val="0"/>
          <w:sz w:val="28"/>
        </w:rPr>
        <w:t>· 永续合约24/7运行，优于传统市场期货和期权；伊朗冲突在CME重启前已反映于Hyperliquid石油永续合约。</w:t>
      </w:r>
    </w:p>
    <w:p>
      <w:pPr>
        <w:spacing w:before="0" w:after="0" w:line="240" w:lineRule="auto"/>
        <w:ind w:left="0" w:right="0" w:firstLine="0"/>
        <w:jc w:val="both"/>
      </w:pPr>
      <w:r>
        <w:rPr>
          <w:rFonts w:ascii="Times New Roman" w:hAnsi="Times New Roman" w:cs="Times New Roman" w:eastAsia="仿宋"/>
          <w:b w:val="0"/>
          <w:sz w:val="28"/>
        </w:rPr>
        <w:t>· RWA永续合约年初占链上永续交易量的1.3%，现达31%；Robinhood已向欧洲客户提供RWA永续合约。</w:t>
      </w:r>
    </w:p>
    <w:p>
      <w:pPr>
        <w:pStyle w:val="正文内容"/>
        <w:spacing w:before="0" w:after="0" w:line="240" w:lineRule="auto"/>
        <w:ind w:left="0" w:right="0" w:firstLine="560"/>
        <w:jc w:val="both"/>
      </w:pPr>
      <w:r>
        <w:rPr>
          <w:rFonts w:ascii="Times New Roman" w:hAnsi="Times New Roman" w:cs="Times New Roman" w:eastAsia="仿宋"/>
          <w:b w:val="0"/>
          <w:sz w:val="28"/>
        </w:rPr>
        <w:t>代币化得到了像 Larry Fink 等人的认可，已成为各大金融机构的头等大事。Blackrock、Fidelity、Franklin Templeton 等众多机构均已对其资产进行代币化。已有超过340亿美元资产被代币化，这还不包括3000亿美元的代币化美元。但有一个规模增长更快且我认为更具影响力的机制——现实世界资产（Real World Assets，RWA）的永续化。</w:t>
      </w:r>
    </w:p>
    <w:p>
      <w:pPr>
        <w:pStyle w:val="正文内容"/>
        <w:spacing w:before="0" w:after="0" w:line="240" w:lineRule="auto"/>
        <w:ind w:left="0" w:right="0" w:firstLine="560"/>
        <w:jc w:val="both"/>
      </w:pPr>
      <w:r>
        <w:rPr>
          <w:rFonts w:ascii="Times New Roman" w:hAnsi="Times New Roman" w:cs="Times New Roman" w:eastAsia="仿宋"/>
          <w:b w:val="0"/>
          <w:sz w:val="28"/>
        </w:rPr>
        <w:t>RWA永续合约（Perpetual Futures，Perps）5月交易量达到3470亿美元，较2025年初的2.3亿美元增长1472倍。仅去中心化交易所（Decentralized Exchange，DEX）的日未平仓量就在7月达到45亿美元的新高。截至5月底，各交易所促成的交易量达1.32万亿美元，是2025年全年的13倍。</w:t>
      </w:r>
    </w:p>
    <w:p>
      <w:pPr>
        <w:pStyle w:val="正文内容"/>
        <w:spacing w:before="0" w:after="0" w:line="240" w:lineRule="auto"/>
        <w:ind w:left="0" w:right="0" w:firstLine="560"/>
        <w:jc w:val="both"/>
      </w:pPr>
      <w:r>
        <w:rPr>
          <w:rFonts w:ascii="Times New Roman" w:hAnsi="Times New Roman" w:cs="Times New Roman" w:eastAsia="仿宋"/>
          <w:b w:val="0"/>
          <w:sz w:val="28"/>
        </w:rPr>
        <w:t>其快速崛起部分源于加密交易者寻求大宗商品和AI股票等RWA敞口。另一因素是，永续合约在许多情况下比传统金融（Traditional Finance，TradFi）的替代品（如大宗商品期货、股票期权）更好。交易者无法在TradFi交易场所收盘后对事件作出反应，而永续合约则24/7运行。例如，伊朗冲突在CME重新开盘前就已反映在Hyperliquid上的石油永续合约中。永续合约通过简单界面提供持续运行的高效市场。期货和期权有到期日、复杂的Greeks和界面，永续合约去除了这些，同时保留了投机上行潜力。</w:t>
      </w:r>
    </w:p>
    <w:p>
      <w:pPr>
        <w:pStyle w:val="正文内容"/>
        <w:spacing w:before="0" w:after="0" w:line="240" w:lineRule="auto"/>
        <w:ind w:left="0" w:right="0" w:firstLine="560"/>
        <w:jc w:val="both"/>
      </w:pPr>
      <w:r>
        <w:rPr>
          <w:rFonts w:ascii="Times New Roman" w:hAnsi="Times New Roman" w:cs="Times New Roman" w:eastAsia="仿宋"/>
          <w:b w:val="0"/>
          <w:sz w:val="28"/>
        </w:rPr>
        <w:t>Martin Lee是DWF Labs的市场洞察负责人，DWF Labs是数字资产领域最活跃的做市商和投资者之一。衍生品交易量总是超过其标的现货市场，股票、大宗商品和加密货币均是如此，RWA也遵循同样趋势。2026年3月至5月，Hyperliquid上的股票永续合约交易量是代币化股票现货交易量的13至20倍。</w:t>
      </w:r>
    </w:p>
    <w:p>
      <w:pPr>
        <w:pStyle w:val="正文内容"/>
        <w:spacing w:before="0" w:after="0" w:line="240" w:lineRule="auto"/>
        <w:ind w:left="0" w:right="0" w:firstLine="560"/>
        <w:jc w:val="both"/>
      </w:pPr>
      <w:r>
        <w:rPr>
          <w:rFonts w:ascii="Times New Roman" w:hAnsi="Times New Roman" w:cs="Times New Roman" w:eastAsia="仿宋"/>
          <w:b w:val="0"/>
          <w:sz w:val="28"/>
        </w:rPr>
        <w:t>有人可能认为交易者数量更重要，而现货在大多数市场（除大宗商品外）通常胜出。数据显示，代币化股票拥有更大的用户基础：18.0845万个钱包，而股票永续合约仅有2.4378万个。但永续合约持有者每月以约33%的速度复合增长，现货为17%。即使在现货占优的领域，永续合约也在迅速缩小差距。</w:t>
      </w:r>
    </w:p>
    <w:p>
      <w:pPr>
        <w:pStyle w:val="正文内容"/>
        <w:spacing w:before="0" w:after="0" w:line="240" w:lineRule="auto"/>
        <w:ind w:left="0" w:right="0" w:firstLine="560"/>
        <w:jc w:val="both"/>
      </w:pPr>
      <w:r>
        <w:rPr>
          <w:rFonts w:ascii="Times New Roman" w:hAnsi="Times New Roman" w:cs="Times New Roman" w:eastAsia="仿宋"/>
          <w:b w:val="0"/>
          <w:sz w:val="28"/>
        </w:rPr>
        <w:t>推动加速的最大因素是RWA永续合约能够快速试验。推出代币化资产比推出新的永续合约市场耗时更长、法律也更复杂。永续市场易于推出，为创建新颖的合成市场创造了机会，解锁了此前不存在的全新机遇，是真正的“0到1”时刻。Pre-IPO市场是最明显的例子：散户首次接触最热门的私人公司，机构则获得更好的私人公司价格发现。5月Cerebras在纳斯达克上市时，Hyperliquid的Pre-IPO永续合约将其定价为354美元，与该股开盘价350美元相差约1%，远超前一日设定的185美元IPO发行价的准确度。</w:t>
      </w:r>
    </w:p>
    <w:p>
      <w:pPr>
        <w:pStyle w:val="正文内容"/>
        <w:spacing w:before="0" w:after="0" w:line="240" w:lineRule="auto"/>
        <w:ind w:left="0" w:right="0" w:firstLine="560"/>
        <w:jc w:val="both"/>
      </w:pPr>
      <w:r>
        <w:rPr>
          <w:rFonts w:ascii="Times New Roman" w:hAnsi="Times New Roman" w:cs="Times New Roman" w:eastAsia="仿宋"/>
          <w:b w:val="0"/>
          <w:sz w:val="28"/>
        </w:rPr>
        <w:t>RWA永续合约年初仅占链上永续交易量的1.3%，如今已达31%。显然RWA正在融入永续，但我们更兴奋的是永续正在融入RWA。加密原生平台总是比大型受监管机构更灵活。达到逃逸速度的链上产品会被上游采用。Robinhood已向欧洲客户提供RWA永续合约，一旦兴起，其他零售经纪商将跟进。不难想象，永续合约将成为大众交易所有资产类别的主要方式，而不仅仅是加密货币。代币化是加密向传统金融的第一大出口，永续合约是下一个。</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原文标题：RWA perps will outpace tokenization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原文链接：https://www.coindesk.com/opinion/2026/07/31/rwa-perps-will-outpace-tokenization</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Coinbase疲软季报令华尔街对复苏时点看法分歧</w:t>
      </w:r>
    </w:p>
    <w:p>
      <w:pPr>
        <w:spacing w:before="0" w:after="0" w:line="240" w:lineRule="auto"/>
        <w:ind w:left="0" w:right="0" w:firstLine="0"/>
        <w:jc w:val="both"/>
      </w:pPr>
      <w:r>
        <w:rPr>
          <w:rFonts w:ascii="Times New Roman" w:hAnsi="Times New Roman" w:cs="Times New Roman" w:eastAsia="仿宋"/>
          <w:b w:val="0"/>
          <w:sz w:val="28"/>
        </w:rPr>
        <w:t>· 分析师普遍认为，Coinbase二季度业绩不及预期源于加密市场疲软而非执行问题，但各方对交易活动何时复苏存在分歧。</w:t>
      </w:r>
    </w:p>
    <w:p>
      <w:pPr>
        <w:spacing w:before="0" w:after="0" w:line="240" w:lineRule="auto"/>
        <w:ind w:left="0" w:right="0" w:firstLine="0"/>
        <w:jc w:val="both"/>
      </w:pPr>
      <w:r>
        <w:rPr>
          <w:rFonts w:ascii="Times New Roman" w:hAnsi="Times New Roman" w:cs="Times New Roman" w:eastAsia="仿宋"/>
          <w:b w:val="0"/>
          <w:sz w:val="28"/>
        </w:rPr>
        <w:t>· 公司全球加密交易量份额升至创纪录的10.3%，连续第三个季度上升；衍生品交易量持平，而整体市场出现两位数下滑。</w:t>
      </w:r>
    </w:p>
    <w:p>
      <w:pPr>
        <w:spacing w:before="0" w:after="0" w:line="240" w:lineRule="auto"/>
        <w:ind w:left="0" w:right="0" w:firstLine="0"/>
        <w:jc w:val="both"/>
      </w:pPr>
      <w:r>
        <w:rPr>
          <w:rFonts w:ascii="Times New Roman" w:hAnsi="Times New Roman" w:cs="Times New Roman" w:eastAsia="仿宋"/>
          <w:b w:val="0"/>
          <w:sz w:val="28"/>
        </w:rPr>
        <w:t>· 预测市场、订阅和稳定币等新业务取得进展，但规模仍不足以弥补核心交易收入；Barclays警告盈利预测或下修，William Blair等则视为买入机会。</w:t>
      </w:r>
    </w:p>
    <w:p>
      <w:pPr>
        <w:pStyle w:val="正文内容"/>
        <w:spacing w:before="0" w:after="0" w:line="240" w:lineRule="auto"/>
        <w:ind w:left="0" w:right="0" w:firstLine="560"/>
        <w:jc w:val="both"/>
      </w:pPr>
      <w:r>
        <w:rPr>
          <w:rFonts w:ascii="Times New Roman" w:hAnsi="Times New Roman" w:cs="Times New Roman" w:eastAsia="仿宋"/>
          <w:b w:val="0"/>
          <w:sz w:val="28"/>
        </w:rPr>
        <w:t>Coinbase（COIN）第二季度财报并未改变华尔街的长期看法。多数分析师将业绩不及预期归因于近年来最疲软的加密交易环境之一，而非公司自身问题。多家机构指出，创纪录的市场份额增长以及向稳定币、衍生品和订阅业务的多元化，是长期利好因素。当前争论集中在加密交易量能否很快反弹以支撑盈利增长。</w:t>
      </w:r>
    </w:p>
    <w:p>
      <w:pPr>
        <w:pStyle w:val="正文内容"/>
        <w:spacing w:before="0" w:after="0" w:line="240" w:lineRule="auto"/>
        <w:ind w:left="0" w:right="0" w:firstLine="560"/>
        <w:jc w:val="both"/>
      </w:pPr>
      <w:r>
        <w:rPr>
          <w:rFonts w:ascii="Times New Roman" w:hAnsi="Times New Roman" w:cs="Times New Roman" w:eastAsia="仿宋"/>
          <w:b w:val="0"/>
          <w:sz w:val="28"/>
        </w:rPr>
        <w:t>财报显示，Coinbase几乎所有主要财务指标均未达预期。第二季度收入为12.2亿美元，调整后EBITDA（税息折旧及摊销前利润）为2.08亿美元。加密货币价格走低和交易量萎缩，拖累了交易收入以及增长中的订阅业务。第三季度指引同样低于市场共识，促使多家机构下调盈利预测和价格目标。股价在开盘前下跌6%。</w:t>
      </w:r>
    </w:p>
    <w:p>
      <w:pPr>
        <w:pStyle w:val="正文内容"/>
        <w:spacing w:before="0" w:after="0" w:line="240" w:lineRule="auto"/>
        <w:ind w:left="0" w:right="0" w:firstLine="560"/>
        <w:jc w:val="both"/>
      </w:pPr>
      <w:r>
        <w:rPr>
          <w:rFonts w:ascii="Times New Roman" w:hAnsi="Times New Roman" w:cs="Times New Roman" w:eastAsia="仿宋"/>
          <w:b w:val="0"/>
          <w:sz w:val="28"/>
        </w:rPr>
        <w:t>即便看多分析师也承认季度表现疲软。Cantor Fitzgerald称之为“又一个疲软季度”，原因是加密货币价格低迷和现货交易量减弱。Oppenheimer表示，业绩欠佳源于整体市场疲软，而非运营问题。Benchmark认为，总体数据掩盖了Coinbase长期战略（即减少对散户交易费的依赖）取得的进展。William Blair则建议投资者将财报后的抛售视为买入机会，称Coinbase仍是任何加密市场最终复苏的最大受益者。</w:t>
      </w:r>
    </w:p>
    <w:p>
      <w:pPr>
        <w:pStyle w:val="正文内容"/>
        <w:spacing w:before="0" w:after="0" w:line="240" w:lineRule="auto"/>
        <w:ind w:left="0" w:right="0" w:firstLine="560"/>
        <w:jc w:val="both"/>
      </w:pPr>
      <w:r>
        <w:rPr>
          <w:rFonts w:ascii="Times New Roman" w:hAnsi="Times New Roman" w:cs="Times New Roman" w:eastAsia="仿宋"/>
          <w:b w:val="0"/>
          <w:sz w:val="28"/>
        </w:rPr>
        <w:t>看多机构最一致的共识是，Coinbase在行业收缩期间继续抢占市场份额。公司称，当季其全球加密交易量份额达到创纪录的10.3%，连续第三个季度上升。Benchmark、Oppenheimer、Clear Street和Cantor均强调，这一数据表明，在市场压力时期，交易活动正向规模更大、受监管的交易所集中。衍生品方面，Coinbase报告交易量持平，而管理层称整体衍生品市场出现两位数下滑。</w:t>
      </w:r>
    </w:p>
    <w:p>
      <w:pPr>
        <w:pStyle w:val="正文内容"/>
        <w:spacing w:before="0" w:after="0" w:line="240" w:lineRule="auto"/>
        <w:ind w:left="0" w:right="0" w:firstLine="560"/>
        <w:jc w:val="both"/>
      </w:pPr>
      <w:r>
        <w:rPr>
          <w:rFonts w:ascii="Times New Roman" w:hAnsi="Times New Roman" w:cs="Times New Roman" w:eastAsia="仿宋"/>
          <w:b w:val="0"/>
          <w:sz w:val="28"/>
        </w:rPr>
        <w:t>分析师认为，Coinbase在现货交易以外的扩张令人鼓舞，但新业务规模仍不足以抵消核心交易收入的疲软。公司正试图通过预测市场、衍生品、订阅、稳定币和Base区块链实现多元化。预测市场年化收入运行率超过1亿美元，Coinbase One付费订阅用户突破100万。其与Circle就USDC的合作按现有条款续约，消除了投资者的一个关键担忧。</w:t>
      </w:r>
    </w:p>
    <w:p>
      <w:pPr>
        <w:pStyle w:val="正文内容"/>
        <w:spacing w:before="0" w:after="0" w:line="240" w:lineRule="auto"/>
        <w:ind w:left="0" w:right="0" w:firstLine="560"/>
        <w:jc w:val="both"/>
      </w:pPr>
      <w:r>
        <w:rPr>
          <w:rFonts w:ascii="Times New Roman" w:hAnsi="Times New Roman" w:cs="Times New Roman" w:eastAsia="仿宋"/>
          <w:b w:val="0"/>
          <w:sz w:val="28"/>
        </w:rPr>
        <w:t>然而，各方普遍认为，多元化尚未大到足以替代流失的交易收入。Clear Street指出，新业务持续取得进展，但仍只是“选择权”，而非有意义的盈利贡献。Barclays更为直言，称预测市场和零售衍生品“并未”提供上季度那样的提振。Compass Point同样表示，新兴业务“几乎没有带来什么变化”。</w:t>
      </w:r>
    </w:p>
    <w:p>
      <w:pPr>
        <w:pStyle w:val="正文内容"/>
        <w:spacing w:before="0" w:after="0" w:line="240" w:lineRule="auto"/>
        <w:ind w:left="0" w:right="0" w:firstLine="560"/>
        <w:jc w:val="both"/>
      </w:pPr>
      <w:r>
        <w:rPr>
          <w:rFonts w:ascii="Times New Roman" w:hAnsi="Times New Roman" w:cs="Times New Roman" w:eastAsia="仿宋"/>
          <w:b w:val="0"/>
          <w:sz w:val="28"/>
        </w:rPr>
        <w:t>最大分歧在于未来几个季度投资者应有何预期。评级为跑输大盘（Underweight）的Barclays表示，7月交易收入和管理层的第三季度指引意味着市场共识预期仍然过高；除非交易活动反弹，否则盈利预测将大幅下修。Compass Point同时警告，围绕拟议CLARITY法案的希望可能被夸大；若加密市场监管立法在参议院受阻，Coinbase股价可能进一步走弱。</w:t>
      </w:r>
    </w:p>
    <w:p>
      <w:pPr>
        <w:pStyle w:val="正文内容"/>
        <w:spacing w:before="0" w:after="0" w:line="240" w:lineRule="auto"/>
        <w:ind w:left="0" w:right="0" w:firstLine="560"/>
        <w:jc w:val="both"/>
      </w:pPr>
      <w:r>
        <w:rPr>
          <w:rFonts w:ascii="Times New Roman" w:hAnsi="Times New Roman" w:cs="Times New Roman" w:eastAsia="仿宋"/>
          <w:b w:val="0"/>
          <w:sz w:val="28"/>
        </w:rPr>
        <w:t>更乐观的机构则着眼于当前周期之外。William Blair认为，加密交易所交易基金（ETF）资金流的企稳可能预示最糟糕时期已经过去；Cantor称，投资者可能在看到“绿芽”后才会重返该股。Oppenheimer和Benchmark还强调，Coinbase在稳定币、衍生品和代币化资产方面的敞口日益扩大，是长期增长驱动因素。尽管财报后机构普遍下调目标价，多数看多分析师仍维持买入或跑赢大盘（Outperform）评级。</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原文标题：Coinbase's weak quarter leaves Wall Street split on timing of a recovery</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原文链接：https://www.coindesk.com/markets/2026/07/31/coinbase-s-weak-quarter-leaves-wall-street-split-on-timing-of-a-recovery</w:t>
      </w:r>
    </w:p>
    <w:p/>
    <w:p>
      <w:pPr>
        <w:pStyle w:val="文章一级标题"/>
        <w:spacing w:before="0" w:after="0" w:line="240" w:lineRule="auto"/>
        <w:ind w:left="0" w:right="0" w:firstLine="0"/>
        <w:jc w:val="center"/>
      </w:pPr>
      <w:r>
        <w:rPr>
          <w:rFonts w:ascii="Times New Roman" w:hAnsi="Times New Roman" w:cs="Times New Roman" w:eastAsia="黑体"/>
          <w:b w:val="0"/>
          <w:sz w:val="30"/>
        </w:rPr>
        <w:t>Strategy称将继续出售比特币不再将全部新资本用于购买BTC</w:t>
      </w:r>
    </w:p>
    <w:p>
      <w:pPr>
        <w:spacing w:before="0" w:after="0" w:line="240" w:lineRule="auto"/>
        <w:ind w:left="0" w:right="0" w:firstLine="0"/>
        <w:jc w:val="both"/>
      </w:pPr>
      <w:r>
        <w:rPr>
          <w:rFonts w:ascii="Times New Roman" w:hAnsi="Times New Roman" w:cs="Times New Roman" w:eastAsia="仿宋"/>
          <w:b w:val="0"/>
          <w:sz w:val="28"/>
        </w:rPr>
        <w:t>· Strategy宣布调整比特币库藏管理方式，未来新资本将不再全部投入比特币购买，改为按计划继续出售比特币，并在追加比特币购买与美元储备之间灵活配置。</w:t>
      </w:r>
    </w:p>
    <w:p>
      <w:pPr>
        <w:spacing w:before="0" w:after="0" w:line="240" w:lineRule="auto"/>
        <w:ind w:left="0" w:right="0" w:firstLine="0"/>
        <w:jc w:val="both"/>
      </w:pPr>
      <w:r>
        <w:rPr>
          <w:rFonts w:ascii="Times New Roman" w:hAnsi="Times New Roman" w:cs="Times New Roman" w:eastAsia="仿宋"/>
          <w:b w:val="0"/>
          <w:sz w:val="28"/>
        </w:rPr>
        <w:t>· 公司今年完成历史上最大规模比特币出售，约3588枚比特币，用于履行优先股股息义务等，并已积累数十亿美元现金储备以保障流动性。</w:t>
      </w:r>
    </w:p>
    <w:p>
      <w:pPr>
        <w:spacing w:before="0" w:after="0" w:line="240" w:lineRule="auto"/>
        <w:ind w:left="0" w:right="0" w:firstLine="0"/>
        <w:jc w:val="both"/>
      </w:pPr>
      <w:r>
        <w:rPr>
          <w:rFonts w:ascii="Times New Roman" w:hAnsi="Times New Roman" w:cs="Times New Roman" w:eastAsia="仿宋"/>
          <w:b w:val="0"/>
          <w:sz w:val="28"/>
        </w:rPr>
        <w:t>· Strategy仍持有约843775枚比特币，是全球最大企业比特币持有者，但正从纯比特币积累工具转向更主动管理的数字资产库藏业务。</w:t>
      </w:r>
    </w:p>
    <w:p>
      <w:pPr>
        <w:pStyle w:val="正文内容"/>
        <w:spacing w:before="0" w:after="0" w:line="240" w:lineRule="auto"/>
        <w:ind w:left="0" w:right="0" w:firstLine="560"/>
        <w:jc w:val="both"/>
      </w:pPr>
      <w:r>
        <w:rPr>
          <w:rFonts w:ascii="Times New Roman" w:hAnsi="Times New Roman" w:cs="Times New Roman" w:eastAsia="仿宋"/>
          <w:b w:val="0"/>
          <w:sz w:val="28"/>
        </w:rPr>
        <w:t>Strategy宣布调整其比特币库藏管理方式，确认未来公司通过融资筹集的资金将不再全部用于购买比特币。公司表示，将按照此前公布的比特币变现计划（BTC Monetization Program）在必要时继续出售比特币，同时采用更灵活的资本配置框架，将新资金分配至追加比特币购买与美元储备。</w:t>
      </w:r>
    </w:p>
    <w:p>
      <w:pPr>
        <w:pStyle w:val="正文内容"/>
        <w:spacing w:before="0" w:after="0" w:line="240" w:lineRule="auto"/>
        <w:ind w:left="0" w:right="0" w:firstLine="560"/>
        <w:jc w:val="both"/>
      </w:pPr>
      <w:r>
        <w:rPr>
          <w:rFonts w:ascii="Times New Roman" w:hAnsi="Times New Roman" w:cs="Times New Roman" w:eastAsia="仿宋"/>
          <w:b w:val="0"/>
          <w:sz w:val="28"/>
        </w:rPr>
        <w:t>此举标志Strategy（前身为MicroStrategy）长期将几乎所有剩余资本投入比特币的策略发生显著转变。自2020年启动库藏策略以来，该公司围绕持续囤积比特币构建自身定位，执行董事长Michael Saylor多次表示公司打算长期“买入并持有”这一数字资产。</w:t>
      </w:r>
    </w:p>
    <w:p>
      <w:pPr>
        <w:pStyle w:val="正文内容"/>
        <w:spacing w:before="0" w:after="0" w:line="240" w:lineRule="auto"/>
        <w:ind w:left="0" w:right="0" w:firstLine="560"/>
        <w:jc w:val="both"/>
      </w:pPr>
      <w:r>
        <w:rPr>
          <w:rFonts w:ascii="Times New Roman" w:hAnsi="Times New Roman" w:cs="Times New Roman" w:eastAsia="仿宋"/>
          <w:b w:val="0"/>
          <w:sz w:val="28"/>
        </w:rPr>
        <w:t>在修订后的框架下，管理层表示未来融资所得将根据市场状况、流动性需求和企业义务进行动态分配，而非专门用于扩大比特币持仓。公司强调，该政策变化不应被解读为放弃对比特币的长期信念，而是在经历长期市场疲软和融资成本上升后，为增强财务灵活性所做的更广泛努力。</w:t>
      </w:r>
    </w:p>
    <w:p>
      <w:pPr>
        <w:pStyle w:val="正文内容"/>
        <w:spacing w:before="0" w:after="0" w:line="240" w:lineRule="auto"/>
        <w:ind w:left="0" w:right="0" w:firstLine="560"/>
        <w:jc w:val="both"/>
      </w:pPr>
      <w:r>
        <w:rPr>
          <w:rFonts w:ascii="Times New Roman" w:hAnsi="Times New Roman" w:cs="Times New Roman" w:eastAsia="仿宋"/>
          <w:b w:val="0"/>
          <w:sz w:val="28"/>
        </w:rPr>
        <w:t>今年早些时候，公司完成了有史以来最大规模的比特币出售，作为新变现框架的一部分处置了约3588枚比特币，所得资金用于帮助履行优先股股息义务，并支持更广泛的资本管理举措。管理层还积累了数十亿美元现金储备，并表明在每笔融资交易中，保持流动性已比最大化比特币购买成为更重要的优先事项。首席执行官Phong Le表示，公司可能在某些优先证券交易价格大幅低于面值时回购这些证券，从而在保持资产负债表灵活性的同时降低融资成本。</w:t>
      </w:r>
    </w:p>
    <w:p>
      <w:pPr>
        <w:pStyle w:val="正文内容"/>
        <w:spacing w:before="0" w:after="0" w:line="240" w:lineRule="auto"/>
        <w:ind w:left="0" w:right="0" w:firstLine="560"/>
        <w:jc w:val="both"/>
      </w:pPr>
      <w:r>
        <w:rPr>
          <w:rFonts w:ascii="Times New Roman" w:hAnsi="Times New Roman" w:cs="Times New Roman" w:eastAsia="仿宋"/>
          <w:b w:val="0"/>
          <w:sz w:val="28"/>
        </w:rPr>
        <w:t>尽管策略有所转变，Strategy仍是全球最大的企业比特币持有者，资产负债表上约有843775枚比特币。即便经过近期出售，比特币仍占公司资产和投资主题的绝大多数。Strategy修订后的资本框架反映出，在长期市场波动期间运营一家上市比特币库藏公司的复杂性不断增加。公司越来越多地依赖优先股、可转换证券和其他融资工具来支持其比特币策略。</w:t>
      </w:r>
    </w:p>
    <w:p>
      <w:pPr>
        <w:pStyle w:val="正文内容"/>
        <w:spacing w:before="0" w:after="0" w:line="240" w:lineRule="auto"/>
        <w:ind w:left="0" w:right="0" w:firstLine="560"/>
        <w:jc w:val="both"/>
      </w:pPr>
      <w:r>
        <w:rPr>
          <w:rFonts w:ascii="Times New Roman" w:hAnsi="Times New Roman" w:cs="Times New Roman" w:eastAsia="仿宋"/>
          <w:b w:val="0"/>
          <w:sz w:val="28"/>
        </w:rPr>
        <w:t>随着这些债务到期，管理层必须在股东回报、股息支付和偿债与积累比特币的目标之间取得平衡。支持者认为，保持较大现金储备提供了宝贵灵活性，使Strategy能够在较弱的市场中机会性地购买比特币，同时避免不必要的融资压力。批评者则认为，此举相当于承认，随着公司规模扩大和资本结构变得更加复杂，此前“尽可能购买每一美元比特币”的做法更难持续。</w:t>
      </w:r>
    </w:p>
    <w:p>
      <w:pPr>
        <w:pStyle w:val="正文内容"/>
        <w:spacing w:before="0" w:after="0" w:line="240" w:lineRule="auto"/>
        <w:ind w:left="0" w:right="0" w:firstLine="560"/>
        <w:jc w:val="both"/>
      </w:pPr>
      <w:r>
        <w:rPr>
          <w:rFonts w:ascii="Times New Roman" w:hAnsi="Times New Roman" w:cs="Times New Roman" w:eastAsia="仿宋"/>
          <w:b w:val="0"/>
          <w:sz w:val="28"/>
        </w:rPr>
        <w:t>修订框架还表明，Strategy正从纯粹的比特币积累工具演变为更主动管理的数字资产库藏业务。管理层不再机械地将每笔融资转换为比特币，而是打算在加密货币敞口、流动性和股东义务之间进行优化。比特币仍是Strategy长期愿景的核心，但最新公告明确，未来资本配置将像受比特币信念驱动一样受财务灵活性驱动，这对全球最大的企业比特币持有者而言是一次显著演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原文标题：Strategy Says It Will Continue Selling Bitcoin and No Longer Allocate All New Capital to BTC Purchases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原文链接：https://financefeeds.com/strategy-says-it-will-continue-selling-bitcoin-and-no-longer-allocate-all-new-capital-to-btc-purchases/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STSDigitalCEO加密市场面临三大阻力下一轮牛市需多项催化剂</w:t>
      </w:r>
    </w:p>
    <w:p>
      <w:pPr>
        <w:spacing w:before="0" w:after="0" w:line="240" w:lineRule="auto"/>
        <w:ind w:left="0" w:right="0" w:firstLine="0"/>
        <w:jc w:val="both"/>
      </w:pPr>
      <w:r>
        <w:rPr>
          <w:rFonts w:ascii="Times New Roman" w:hAnsi="Times New Roman" w:cs="Times New Roman" w:eastAsia="仿宋"/>
          <w:b w:val="0"/>
          <w:sz w:val="28"/>
        </w:rPr>
        <w:t>· STS Digital首席执行官Maxime Seiler称，机构投资者卖出期权、资金转向人工智能以及美国加密立法延迟是压制数字资产价格的三大阻力。</w:t>
      </w:r>
    </w:p>
    <w:p>
      <w:pPr>
        <w:spacing w:before="0" w:after="0" w:line="240" w:lineRule="auto"/>
        <w:ind w:left="0" w:right="0" w:firstLine="0"/>
        <w:jc w:val="both"/>
      </w:pPr>
      <w:r>
        <w:rPr>
          <w:rFonts w:ascii="Times New Roman" w:hAnsi="Times New Roman" w:cs="Times New Roman" w:eastAsia="仿宋"/>
          <w:b w:val="0"/>
          <w:sz w:val="28"/>
        </w:rPr>
        <w:t>· Seiler认为，尽管华尔街稳步采用区块链，但大部分价值流向成熟金融机构而非代币持有者；期权卖出增长通过反身循环压缩比特币波动率与交易区间。</w:t>
      </w:r>
    </w:p>
    <w:p>
      <w:pPr>
        <w:spacing w:before="0" w:after="0" w:line="240" w:lineRule="auto"/>
        <w:ind w:left="0" w:right="0" w:firstLine="0"/>
        <w:jc w:val="both"/>
      </w:pPr>
      <w:r>
        <w:rPr>
          <w:rFonts w:ascii="Times New Roman" w:hAnsi="Times New Roman" w:cs="Times New Roman" w:eastAsia="仿宋"/>
          <w:b w:val="0"/>
          <w:sz w:val="28"/>
        </w:rPr>
        <w:t>· 他认为下一轮显著上涨需要监管清晰、货币宽松及24/7金融基础设施的机构部署扩大；其公司STS Digital已获完整F类牌照，比特币期权名义量一年内增长四倍。</w:t>
      </w:r>
    </w:p>
    <w:p>
      <w:pPr>
        <w:pStyle w:val="正文内容"/>
        <w:spacing w:before="0" w:after="0" w:line="240" w:lineRule="auto"/>
        <w:ind w:left="0" w:right="0" w:firstLine="560"/>
        <w:jc w:val="both"/>
      </w:pPr>
      <w:r>
        <w:rPr>
          <w:rFonts w:ascii="Times New Roman" w:hAnsi="Times New Roman" w:cs="Times New Roman" w:eastAsia="仿宋"/>
          <w:b w:val="0"/>
          <w:sz w:val="28"/>
        </w:rPr>
        <w:t>STS Digital首席执行官Maxime Seiler表示，机构投资者卖出期权（Options）、资金转向人工智能（AI）以及美国加密立法延迟，是当前压制数字资产价格上涨的三大主要阻力。尽管华尔街正在稳步拥抱区块链技术，但市场尚未完全消化该技术在传统金融领域快速整合的影响。他指出，过去四年机构对加密和数字资产技术的采用创下纪录，但过去两年的变化在于，机构越来越多地使用区块链升级传统金融市场，使其实现24/7运转。</w:t>
      </w:r>
    </w:p>
    <w:p>
      <w:pPr>
        <w:pStyle w:val="正文内容"/>
        <w:spacing w:before="0" w:after="0" w:line="240" w:lineRule="auto"/>
        <w:ind w:left="0" w:right="0" w:firstLine="560"/>
        <w:jc w:val="both"/>
      </w:pPr>
      <w:r>
        <w:rPr>
          <w:rFonts w:ascii="Times New Roman" w:hAnsi="Times New Roman" w:cs="Times New Roman" w:eastAsia="仿宋"/>
          <w:b w:val="0"/>
          <w:sz w:val="28"/>
        </w:rPr>
        <w:t>Seiler在CoinDesk采访中表示，银行、交易所和经纪商正在处理全天候市场的运营挑战，包括清算、结算和保证金。Kraken和Coinbase（COIN）等公司正从加密领域扩展至更广泛的金融服务，加速这一转变。然而，Seiler表示，大部分采用成果沉淀于成熟金融机构而非代币持有者；随着传统金融将区块链技术整合进现有工作流程，直接流向加密资产的价值低于投资者几年前的预期。</w:t>
      </w:r>
    </w:p>
    <w:p>
      <w:pPr>
        <w:pStyle w:val="正文内容"/>
        <w:spacing w:before="0" w:after="0" w:line="240" w:lineRule="auto"/>
        <w:ind w:left="0" w:right="0" w:firstLine="560"/>
        <w:jc w:val="both"/>
      </w:pPr>
      <w:r>
        <w:rPr>
          <w:rFonts w:ascii="Times New Roman" w:hAnsi="Times New Roman" w:cs="Times New Roman" w:eastAsia="仿宋"/>
          <w:b w:val="0"/>
          <w:sz w:val="28"/>
        </w:rPr>
        <w:t>另一障碍是人工智能。Seiler称，投资者对AI的热情已将注意力和资本从加密市场分流。OpenAI、Anthropic以及SpaceX（SPCX）IPO等公司的高调进展，使AI成为市场主导的增长叙事。他还指出，美国市场结构立法（包括《清晰法案》（Clarity Act））的延迟是打击市场情绪的另一个因素。他称，监管的确定性将有助于加速传统金融向24/7交易和结算转型，同时为数字资产创造更具建设性的背景。</w:t>
      </w:r>
    </w:p>
    <w:p>
      <w:pPr>
        <w:pStyle w:val="正文内容"/>
        <w:spacing w:before="0" w:after="0" w:line="240" w:lineRule="auto"/>
        <w:ind w:left="0" w:right="0" w:firstLine="560"/>
        <w:jc w:val="both"/>
      </w:pPr>
      <w:r>
        <w:rPr>
          <w:rFonts w:ascii="Times New Roman" w:hAnsi="Times New Roman" w:cs="Times New Roman" w:eastAsia="仿宋"/>
          <w:b w:val="0"/>
          <w:sz w:val="28"/>
        </w:rPr>
        <w:t>Seiler还表示，机构加密期权市场的快速增长正在抑制比特币价格波动。比特币隐含波动率（implied volatility）近期异常低迷，衡量比特币期权预期30天波动率的BVIV指数（BVIV Index）近几个月跌至30%左右区间，处于本轮周期低位，7月开始小幅回升。他表示，波动率卖出失衡会形成反身循环；基金、做市商和其他机构参与者的期权卖出量创纪录，收取期权权利金鼓励进一步卖出波动率，同时压缩隐含和已实现波动率（realized volatility）。</w:t>
      </w:r>
    </w:p>
    <w:p>
      <w:pPr>
        <w:pStyle w:val="正文内容"/>
        <w:spacing w:before="0" w:after="0" w:line="240" w:lineRule="auto"/>
        <w:ind w:left="0" w:right="0" w:firstLine="560"/>
        <w:jc w:val="both"/>
      </w:pPr>
      <w:r>
        <w:rPr>
          <w:rFonts w:ascii="Times New Roman" w:hAnsi="Times New Roman" w:cs="Times New Roman" w:eastAsia="仿宋"/>
          <w:b w:val="0"/>
          <w:sz w:val="28"/>
        </w:rPr>
        <w:t>这种状况实际上封住了比特币的交易区间，限制了以往周期中标志性的超大涨幅，同时让该加密货币在更广泛市场抛售时暴露更大风险。过去一个月，比特币被困在6万至6.6万美元的相对狭窄区间，反复尝试突破阻力或跌破支撑均未能形成持续动能。Seiler表示，相比几年前，方向性比特币交易的兴趣已大幅下降，机构期权卖出的增长正在压缩区间。</w:t>
      </w:r>
    </w:p>
    <w:p>
      <w:pPr>
        <w:pStyle w:val="正文内容"/>
        <w:spacing w:before="0" w:after="0" w:line="240" w:lineRule="auto"/>
        <w:ind w:left="0" w:right="0" w:firstLine="560"/>
        <w:jc w:val="both"/>
      </w:pPr>
      <w:r>
        <w:rPr>
          <w:rFonts w:ascii="Times New Roman" w:hAnsi="Times New Roman" w:cs="Times New Roman" w:eastAsia="仿宋"/>
          <w:b w:val="0"/>
          <w:sz w:val="28"/>
        </w:rPr>
        <w:t>尽管市场低迷，Seiler称STS Digital正在扩张。这家受百慕大监管的加密期权做市商今年获得了完整的F类牌照（Class F license），此前其已在该司法管辖区的监管框架内逐步推进。新牌照使其摆脱旧牌照的限制实现增长。Seiler称，过去12个月公司比特币期权名义交易量增长四倍，他将此归因于监管地位的提升和机构参与的增加。</w:t>
      </w:r>
    </w:p>
    <w:p>
      <w:pPr>
        <w:pStyle w:val="正文内容"/>
        <w:spacing w:before="0" w:after="0" w:line="240" w:lineRule="auto"/>
        <w:ind w:left="0" w:right="0" w:firstLine="560"/>
        <w:jc w:val="both"/>
      </w:pPr>
      <w:r>
        <w:rPr>
          <w:rFonts w:ascii="Times New Roman" w:hAnsi="Times New Roman" w:cs="Times New Roman" w:eastAsia="仿宋"/>
          <w:b w:val="0"/>
          <w:sz w:val="28"/>
        </w:rPr>
        <w:t>展望未来，Seiler表示，加密市场要实现可观上涨，需要多项催化剂共同作用，包括监管清晰、24/7金融基础设施的机构部署扩大，以及更支持性的宏观背景（可能包含降息或重启货币宽松）。不过，他预计未来几个月内这些条件难以成熟。Seiler认为，市场既低估了机构采用的速度，也低估了传统金融将加密基础设施整合进全球资本市场的速度。</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 faces 3 barriers to next bull run， STS Digital CEO says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原文链接：https://www.coindesk.com/markets/2026/07/31/crypto-faces-3-barriers-to-next-bull-run-sts-digital-ceo-says</w:t>
      </w:r>
    </w:p>
    <w:p/>
    <w:p>
      <w:pPr>
        <w:pStyle w:val="文章一级标题"/>
        <w:spacing w:before="0" w:after="0" w:line="240" w:lineRule="auto"/>
        <w:ind w:left="0" w:right="0" w:firstLine="0"/>
        <w:jc w:val="center"/>
      </w:pPr>
      <w:r>
        <w:rPr>
          <w:rFonts w:ascii="Times New Roman" w:hAnsi="Times New Roman" w:cs="Times New Roman" w:eastAsia="黑体"/>
          <w:b w:val="0"/>
          <w:sz w:val="30"/>
        </w:rPr>
        <w:t>美国财政部长援引比特币创造者SatoshiNakamoto名言呼吁通过《清晰法案》</w:t>
      </w:r>
    </w:p>
    <w:p>
      <w:pPr>
        <w:spacing w:before="0" w:after="0" w:line="240" w:lineRule="auto"/>
        <w:ind w:left="0" w:right="0" w:firstLine="0"/>
        <w:jc w:val="both"/>
      </w:pPr>
      <w:r>
        <w:rPr>
          <w:rFonts w:ascii="Times New Roman" w:hAnsi="Times New Roman" w:cs="Times New Roman" w:eastAsia="仿宋"/>
          <w:b w:val="0"/>
          <w:sz w:val="28"/>
        </w:rPr>
        <w:t>· 美国财政部长Scott Bessent敦促参议院立即就《清晰法案》（Clarity Act）投票，指责民主党出于政治原因拖延表决。</w:t>
      </w:r>
    </w:p>
    <w:p>
      <w:pPr>
        <w:spacing w:before="0" w:after="0" w:line="240" w:lineRule="auto"/>
        <w:ind w:left="0" w:right="0" w:firstLine="0"/>
        <w:jc w:val="both"/>
      </w:pPr>
      <w:r>
        <w:rPr>
          <w:rFonts w:ascii="Times New Roman" w:hAnsi="Times New Roman" w:cs="Times New Roman" w:eastAsia="仿宋"/>
          <w:b w:val="0"/>
          <w:sz w:val="28"/>
        </w:rPr>
        <w:t>· Bessent驳斥法案缺乏消费者保护和反洗钱保障的批评，称其第二和第三篇将显著扩大数字资产中介的合规要求。</w:t>
      </w:r>
    </w:p>
    <w:p>
      <w:pPr>
        <w:spacing w:before="0" w:after="0" w:line="240" w:lineRule="auto"/>
        <w:ind w:left="0" w:right="0" w:firstLine="0"/>
        <w:jc w:val="both"/>
      </w:pPr>
      <w:r>
        <w:rPr>
          <w:rFonts w:ascii="Times New Roman" w:hAnsi="Times New Roman" w:cs="Times New Roman" w:eastAsia="仿宋"/>
          <w:b w:val="0"/>
          <w:sz w:val="28"/>
        </w:rPr>
        <w:t>· Bessent以比特币创造者Satoshi Nakamoto的名言结束呼吁：“如果你不相信我或不明白，我没有时间试图说服你，抱歉。”</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美国财政部长Scott Bessent于周四敦促参议院通过《清晰法案》（Clarity Act），指责民主党出于政治原因推迟表决，并警告美国若没有明确规则，可能失去在数字资产领域的领导地位。在X平台发布的长文中，Bessent表示，众议院通过该法案已超过一年，参议院银行与农业委员会工作人员此后花费了“数千小时”进行两党修订磋商；他称共和党人现已拥有一项可提交参议院表决的法案。</w:t>
      </w:r>
    </w:p>
    <w:p>
      <w:pPr>
        <w:pStyle w:val="正文内容"/>
        <w:spacing w:before="0" w:after="0" w:line="240" w:lineRule="auto"/>
        <w:ind w:left="0" w:right="0" w:firstLine="560"/>
        <w:jc w:val="both"/>
      </w:pPr>
      <w:r>
        <w:rPr>
          <w:rFonts w:ascii="Times New Roman" w:hAnsi="Times New Roman" w:cs="Times New Roman" w:eastAsia="仿宋"/>
          <w:b w:val="0"/>
          <w:sz w:val="28"/>
        </w:rPr>
        <w:t>Bessent写道：“令人失望——但并不意外——的是，参议院民主党人在美国领导地位即将取得重大胜利之际选择玩弄政治。”他反问，历史上有哪个国会在有机会选择时，却宁愿将某个行业赶出美国，而不是对其进行明智监管？“美国例外主义”曾是一个两党共同的目标；如果《清晰法案》失败，他会产生严重怀疑。</w:t>
      </w:r>
    </w:p>
    <w:p>
      <w:pPr>
        <w:pStyle w:val="正文内容"/>
        <w:spacing w:before="0" w:after="0" w:line="240" w:lineRule="auto"/>
        <w:ind w:left="0" w:right="0" w:firstLine="560"/>
        <w:jc w:val="both"/>
      </w:pPr>
      <w:r>
        <w:rPr>
          <w:rFonts w:ascii="Times New Roman" w:hAnsi="Times New Roman" w:cs="Times New Roman" w:eastAsia="仿宋"/>
          <w:b w:val="0"/>
          <w:sz w:val="28"/>
        </w:rPr>
        <w:t>Bessent驳斥了该立法缺乏消费者保护或非法金融活动防范措施的批评，称其第二和第三篇将显著扩大数字资产中介机构的合规要求，使其更接近适用于传统金融机构的标准。他还为《区块链监管确定性法案》（Blockchain Regulatory Certainty Act）辩护，该条款纳入《清晰法案》旨在保护去中心化软件开发者，并编纂了财政部长期以来的政策，即这些开发者不受《银行保密法》（Bank Secrecy Act）注册要求的约束。Bessent补充说，此前反对该举措的警察兄弟会（Fraternal Order of Police）现在也予以支持。</w:t>
      </w:r>
    </w:p>
    <w:p>
      <w:pPr>
        <w:pStyle w:val="正文内容"/>
        <w:spacing w:before="0" w:after="0" w:line="240" w:lineRule="auto"/>
        <w:ind w:left="0" w:right="0" w:firstLine="560"/>
        <w:jc w:val="both"/>
      </w:pPr>
      <w:r>
        <w:rPr>
          <w:rFonts w:ascii="Times New Roman" w:hAnsi="Times New Roman" w:cs="Times New Roman" w:eastAsia="仿宋"/>
          <w:b w:val="0"/>
          <w:sz w:val="28"/>
        </w:rPr>
        <w:t>这位财政部长还指责参议院民主党人，称他们担心参议员Elizabeth Warren及其自称的“反加密军队”的反弹。他认为，即将到来的表决将决定美国是继续保持数字资产领域的全球领导者地位，还是因监管不确定性而将该行业推向海外。</w:t>
      </w:r>
    </w:p>
    <w:p>
      <w:pPr>
        <w:pStyle w:val="正文内容"/>
        <w:spacing w:before="0" w:after="0" w:line="240" w:lineRule="auto"/>
        <w:ind w:left="0" w:right="0" w:firstLine="560"/>
        <w:jc w:val="both"/>
      </w:pPr>
      <w:r>
        <w:rPr>
          <w:rFonts w:ascii="Times New Roman" w:hAnsi="Times New Roman" w:cs="Times New Roman" w:eastAsia="仿宋"/>
          <w:b w:val="0"/>
          <w:sz w:val="28"/>
        </w:rPr>
        <w:t>Bessent在帖子结尾引用了比特币创造者Satoshi Nakamoto最广为人知的引言之一：“美国会领导，或者美国不会。这并不复杂。”他写道：“我相信Satoshi曾说过：‘如果你不相信我或不明白，我没有时间试图说服你，抱歉。’”</w:t>
      </w:r>
    </w:p>
    <w:p>
      <w:pPr>
        <w:pStyle w:val="正文内容"/>
        <w:spacing w:before="0" w:after="0" w:line="240" w:lineRule="auto"/>
        <w:ind w:left="0" w:right="0" w:firstLine="560"/>
        <w:jc w:val="both"/>
      </w:pPr>
      <w:r>
        <w:rPr>
          <w:rFonts w:ascii="Times New Roman" w:hAnsi="Times New Roman" w:cs="Times New Roman" w:eastAsia="仿宋"/>
          <w:b w:val="0"/>
          <w:sz w:val="28"/>
        </w:rPr>
        <w:t>《清晰法案》将建立美国数字资产市场的联邦监管框架，实际上将使美国大多数加密货币活动合法化。如果该法案获得通过并签署成为法律，它将把数字资产监管权在美国证券交易委员会（SEC）与商品期货交易委员会（CFTC）之间进行划分，其中大部分加密资产通常置于CFTC的管辖之下。</w:t>
      </w:r>
    </w:p>
    <w:p>
      <w:pPr>
        <w:pStyle w:val="正文内容"/>
        <w:spacing w:before="0" w:after="0" w:line="240" w:lineRule="auto"/>
        <w:ind w:left="0" w:right="0" w:firstLine="560"/>
        <w:jc w:val="both"/>
      </w:pPr>
      <w:r>
        <w:rPr>
          <w:rFonts w:ascii="Times New Roman" w:hAnsi="Times New Roman" w:cs="Times New Roman" w:eastAsia="仿宋"/>
          <w:b w:val="0"/>
          <w:sz w:val="28"/>
        </w:rPr>
        <w:t>该法案已成为华盛顿加密行业最重要的立法优先事项之一。今年5月，参议院共和党人发布更新草案，加入有争议的“道德条款”，禁止总统和其他联邦官员在任期内发行或赞助数字资产。该条款旨在专门限制总统Donald Trump的商业活动，据最新披露，他仅2025年就从加密业务中赚得超过12亿美元。民主党批评该提案，因为限制措施将于2029年到期，执法完全由司法部负责，且措辞不涵盖官员的子女。</w:t>
      </w:r>
    </w:p>
    <w:p>
      <w:pPr>
        <w:pStyle w:val="正文内容"/>
        <w:spacing w:before="0" w:after="0" w:line="240" w:lineRule="auto"/>
        <w:ind w:left="0" w:right="0" w:firstLine="560"/>
        <w:jc w:val="both"/>
      </w:pPr>
      <w:r>
        <w:rPr>
          <w:rFonts w:ascii="Times New Roman" w:hAnsi="Times New Roman" w:cs="Times New Roman" w:eastAsia="仿宋"/>
          <w:b w:val="0"/>
          <w:sz w:val="28"/>
        </w:rPr>
        <w:t>立法路径依然充满不确定性。参议院多数党领袖John Thune最近表示，由于围绕道德条款的谈判仍未解决，他不预期该法案能在8月休会前获得通过。多数观察人士将8月休会视为今年通过任何立法的最后期限，此后国会的注意力将转向中期选举。</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原文标题：Treasury Secretary Invokes Bitcoin Creator Satoshi Nakamoto in Plea for Clarity Act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原文链接：https://decrypt.co/374758/treasury-secretary-bitcoin-satoshi-nakamoto-clarity-act</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2026-07-24 23:19 至 2026-07-31 23:19（北京时间，最近7天）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