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欧盟将再次投票延长争议性“聊天控制”规则</w:t>
      </w:r>
    </w:p>
    <w:p>
      <w:pPr>
        <w:pStyle w:val="ListParagraph"/>
        <w:spacing w:before="0" w:after="0" w:line="360" w:lineRule="auto"/>
        <w:ind w:left="0" w:firstLine="0"/>
      </w:pPr>
      <w:r>
        <w:rPr>
          <w:rFonts w:ascii="Times New Roman" w:hAnsi="Times New Roman" w:cs="Times New Roman" w:eastAsia="楷体"/>
          <w:b w:val="0"/>
          <w:sz w:val="28"/>
        </w:rPr>
        <w:t>· SEC2026年议程重点推进加密规则变更</w:t>
      </w:r>
    </w:p>
    <w:p>
      <w:pPr>
        <w:pStyle w:val="ListParagraph"/>
        <w:spacing w:before="0" w:after="0" w:line="360" w:lineRule="auto"/>
        <w:ind w:left="0" w:firstLine="0"/>
      </w:pPr>
      <w:r>
        <w:rPr>
          <w:rFonts w:ascii="Times New Roman" w:hAnsi="Times New Roman" w:cs="Times New Roman" w:eastAsia="楷体"/>
          <w:b w:val="0"/>
          <w:sz w:val="28"/>
        </w:rPr>
        <w:t>· 肯尼亚市场监管机构寻求区块链工具追踪加密犯罪</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Ondo推出永续合约平台允许代币化股票作为抵押品</w:t>
      </w:r>
    </w:p>
    <w:p>
      <w:pPr>
        <w:pStyle w:val="ListParagraph"/>
        <w:spacing w:before="0" w:after="0" w:line="360" w:lineRule="auto"/>
        <w:ind w:left="0" w:firstLine="0"/>
      </w:pPr>
      <w:r>
        <w:rPr>
          <w:rFonts w:ascii="Times New Roman" w:hAnsi="Times New Roman" w:cs="Times New Roman" w:eastAsia="楷体"/>
          <w:b w:val="0"/>
          <w:sz w:val="28"/>
        </w:rPr>
        <w:t>· RealFi推出USDr公开测试网为主网上线铺路</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EDXMarkets完成7600万美元C轮融资SBIHoldings领投</w:t>
      </w:r>
    </w:p>
    <w:p>
      <w:pPr>
        <w:pStyle w:val="ListParagraph"/>
        <w:spacing w:before="0" w:after="0" w:line="360" w:lineRule="auto"/>
        <w:ind w:left="0" w:firstLine="0"/>
      </w:pPr>
      <w:r>
        <w:rPr>
          <w:rFonts w:ascii="Times New Roman" w:hAnsi="Times New Roman" w:cs="Times New Roman" w:eastAsia="楷体"/>
          <w:b w:val="0"/>
          <w:sz w:val="28"/>
        </w:rPr>
        <w:t>· Vanguard招聘数字资产主管加密策略悄然转向</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Strike推出“波动性防护”比特币贷款免除清算但成本高昂</w:t>
      </w:r>
    </w:p>
    <w:p>
      <w:pPr>
        <w:pStyle w:val="ListParagraph"/>
        <w:spacing w:before="0" w:after="0" w:line="360" w:lineRule="auto"/>
        <w:ind w:left="0" w:firstLine="0"/>
      </w:pPr>
      <w:r>
        <w:rPr>
          <w:rFonts w:ascii="Times New Roman" w:hAnsi="Times New Roman" w:cs="Times New Roman" w:eastAsia="楷体"/>
          <w:b w:val="0"/>
          <w:sz w:val="28"/>
        </w:rPr>
        <w:t>· K33半数比特币供应亏损市场底部或近</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欧盟将再次投票延长争议性“聊天控制”规则</w:t>
      </w:r>
    </w:p>
    <w:p>
      <w:pPr>
        <w:spacing w:before="0" w:after="0" w:line="240" w:lineRule="auto"/>
        <w:ind w:left="0" w:right="0" w:firstLine="0"/>
        <w:jc w:val="both"/>
      </w:pPr>
      <w:r>
        <w:rPr>
          <w:rFonts w:ascii="Times New Roman" w:hAnsi="Times New Roman" w:cs="Times New Roman" w:eastAsia="仿宋"/>
          <w:b w:val="0"/>
          <w:sz w:val="28"/>
        </w:rPr>
        <w:t>· 欧盟议员通过一项罕见的紧急程序，将于周四投票决定是否延长已於4月初到期的“聊天控制”法律框架。</w:t>
      </w:r>
    </w:p>
    <w:p>
      <w:pPr>
        <w:spacing w:before="0" w:after="0" w:line="240" w:lineRule="auto"/>
        <w:ind w:left="0" w:right="0" w:firstLine="0"/>
        <w:jc w:val="both"/>
      </w:pPr>
      <w:r>
        <w:rPr>
          <w:rFonts w:ascii="Times New Roman" w:hAnsi="Times New Roman" w:cs="Times New Roman" w:eastAsia="仿宋"/>
          <w:b w:val="0"/>
          <w:sz w:val="28"/>
        </w:rPr>
        <w:t>· 批评者称该法规允许科技公司扫描端到端加密消息以查找儿童性虐待材料，侵犯隐私和加密权益。</w:t>
      </w:r>
    </w:p>
    <w:p>
      <w:pPr>
        <w:spacing w:before="0" w:after="0" w:line="240" w:lineRule="auto"/>
        <w:ind w:left="0" w:right="0" w:firstLine="0"/>
        <w:jc w:val="both"/>
      </w:pPr>
      <w:r>
        <w:rPr>
          <w:rFonts w:ascii="Times New Roman" w:hAnsi="Times New Roman" w:cs="Times New Roman" w:eastAsia="仿宋"/>
          <w:b w:val="0"/>
          <w:sz w:val="28"/>
        </w:rPr>
        <w:t>· 周二紧急程序以331票赞成、304票反对、11票弃权通过，但否决或修改提案需绝对多数361票。</w:t>
      </w:r>
    </w:p>
    <w:p>
      <w:pPr>
        <w:pStyle w:val="正文内容"/>
        <w:spacing w:before="0" w:after="0" w:line="240" w:lineRule="auto"/>
        <w:ind w:left="0" w:right="0" w:firstLine="560"/>
        <w:jc w:val="both"/>
      </w:pPr>
      <w:r>
        <w:rPr>
          <w:rFonts w:ascii="Times New Roman" w:hAnsi="Times New Roman" w:cs="Times New Roman" w:eastAsia="仿宋"/>
          <w:b w:val="0"/>
          <w:sz w:val="28"/>
        </w:rPr>
        <w:t>欧盟议员再次面临对俗称“聊天控制”的争议性立法的投票。该法规允许科技公司扫描用户消息以查找儿童性虐待材料（CSAM），但其法律框架已于4月初到期。周二，欧洲议会通过一项罕见的紧急程序，将迫使议员在周四投票决定是否延长该框架。</w:t>
      </w:r>
    </w:p>
    <w:p>
      <w:pPr>
        <w:pStyle w:val="正文内容"/>
        <w:spacing w:before="0" w:after="0" w:line="240" w:lineRule="auto"/>
        <w:ind w:left="0" w:right="0" w:firstLine="560"/>
        <w:jc w:val="both"/>
      </w:pPr>
      <w:r>
        <w:rPr>
          <w:rFonts w:ascii="Times New Roman" w:hAnsi="Times New Roman" w:cs="Times New Roman" w:eastAsia="仿宋"/>
          <w:b w:val="0"/>
          <w:sz w:val="28"/>
        </w:rPr>
        <w:t>“聊天控制”规则在隐私和密码学倡导者中极具争议，因为它要求科技公司扫描端到端加密消息。自法律框架4月到期后，WhatsApp等消息平台已被允许采取自愿措施来查找传播虐待材料的行为。</w:t>
      </w:r>
    </w:p>
    <w:p>
      <w:pPr>
        <w:pStyle w:val="正文内容"/>
        <w:spacing w:before="0" w:after="0" w:line="240" w:lineRule="auto"/>
        <w:ind w:left="0" w:right="0" w:firstLine="560"/>
        <w:jc w:val="both"/>
      </w:pPr>
      <w:r>
        <w:rPr>
          <w:rFonts w:ascii="Times New Roman" w:hAnsi="Times New Roman" w:cs="Times New Roman" w:eastAsia="仿宋"/>
          <w:b w:val="0"/>
          <w:sz w:val="28"/>
        </w:rPr>
        <w:t>周二紧急程序投票以331票赞成、304票反对、11票弃权获得通过。海盗党欧洲议会议员Markéta Gregorová表示：“今天的投票违反了我们的议事规则，欧洲议会决定对聊天控制1.0使用紧急程序。这意味着周四我们将再次投票是否延长允许在线平台扫描私人通信的豁免。”</w:t>
      </w:r>
    </w:p>
    <w:p>
      <w:pPr>
        <w:pStyle w:val="正文内容"/>
        <w:spacing w:before="0" w:after="0" w:line="240" w:lineRule="auto"/>
        <w:ind w:left="0" w:right="0" w:firstLine="560"/>
        <w:jc w:val="both"/>
      </w:pPr>
      <w:r>
        <w:rPr>
          <w:rFonts w:ascii="Times New Roman" w:hAnsi="Times New Roman" w:cs="Times New Roman" w:eastAsia="仿宋"/>
          <w:b w:val="0"/>
          <w:sz w:val="28"/>
        </w:rPr>
        <w:t>Gregorová指出，否决或修改提案需要议会绝对多数361票。今年3月，议会曾以311票反对、228票赞成、92票弃权否决了欧盟委员会提出的临时延长方案，当时新版本法律正在讨论中。</w:t>
      </w:r>
    </w:p>
    <w:p>
      <w:pPr>
        <w:pStyle w:val="正文内容"/>
        <w:spacing w:before="0" w:after="0" w:line="240" w:lineRule="auto"/>
        <w:ind w:left="0" w:right="0" w:firstLine="560"/>
        <w:jc w:val="both"/>
      </w:pPr>
      <w:r>
        <w:rPr>
          <w:rFonts w:ascii="Times New Roman" w:hAnsi="Times New Roman" w:cs="Times New Roman" w:eastAsia="仿宋"/>
          <w:b w:val="0"/>
          <w:sz w:val="28"/>
        </w:rPr>
        <w:t>据Euronews周二报道，最新提案由议会最大党团欧洲人民党（EPP）提出，该党3月曾因限制扫描范围的修正案而大多投票反对该措施。但EPP领导人Manfred Weber一直在寻找无需修改即可推动延长法案的方法。</w:t>
      </w:r>
    </w:p>
    <w:p>
      <w:pPr>
        <w:pStyle w:val="正文内容"/>
        <w:spacing w:before="0" w:after="0" w:line="240" w:lineRule="auto"/>
        <w:ind w:left="0" w:right="0" w:firstLine="560"/>
        <w:jc w:val="both"/>
      </w:pPr>
      <w:r>
        <w:rPr>
          <w:rFonts w:ascii="Times New Roman" w:hAnsi="Times New Roman" w:cs="Times New Roman" w:eastAsia="仿宋"/>
          <w:b w:val="0"/>
          <w:sz w:val="28"/>
        </w:rPr>
        <w:t>Gregorová批评称：“欧洲人民党滥用其作为最大政治团体的地位，通过程序漏洞重新提出议会已经否决的提案。这是前所未有的。”</w:t>
      </w:r>
    </w:p>
    <w:p>
      <w:pPr>
        <w:pStyle w:val="正文内容"/>
        <w:spacing w:before="0" w:after="0" w:line="240" w:lineRule="auto"/>
        <w:ind w:left="0" w:right="0" w:firstLine="560"/>
        <w:jc w:val="both"/>
      </w:pPr>
      <w:r>
        <w:rPr>
          <w:rFonts w:ascii="Times New Roman" w:hAnsi="Times New Roman" w:cs="Times New Roman" w:eastAsia="仿宋"/>
          <w:b w:val="0"/>
          <w:sz w:val="28"/>
        </w:rPr>
        <w:t>上月，欧盟成员国已同意恢复一项临时“聊天控制”措施，允许服务提供商检测、报告并移除虐待材料，直至2028年。</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原文标题：EU to again vote to extend ‘chat control’ rules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原文链接：https://cointelegraph.com/news/eu-to-again-vote-to-extend-chat-control-rules</w:t>
      </w:r>
    </w:p>
    <w:p/>
    <w:p>
      <w:pPr>
        <w:pStyle w:val="文章一级标题"/>
        <w:spacing w:before="0" w:after="0" w:line="240" w:lineRule="auto"/>
        <w:ind w:left="0" w:right="0" w:firstLine="0"/>
        <w:jc w:val="center"/>
      </w:pPr>
      <w:r>
        <w:rPr>
          <w:rFonts w:ascii="Times New Roman" w:hAnsi="Times New Roman" w:cs="Times New Roman" w:eastAsia="黑体"/>
          <w:b w:val="0"/>
          <w:sz w:val="30"/>
        </w:rPr>
        <w:t>SEC2026年议程重点推进加密规则变更</w:t>
      </w:r>
    </w:p>
    <w:p>
      <w:pPr>
        <w:spacing w:before="0" w:after="0" w:line="240" w:lineRule="auto"/>
        <w:ind w:left="0" w:right="0" w:firstLine="0"/>
        <w:jc w:val="both"/>
      </w:pPr>
      <w:r>
        <w:rPr>
          <w:rFonts w:ascii="Times New Roman" w:hAnsi="Times New Roman" w:cs="Times New Roman" w:eastAsia="仿宋"/>
          <w:b w:val="0"/>
          <w:sz w:val="28"/>
        </w:rPr>
        <w:t>· 美国证券交易委员会（SEC）在其2026年年度议程中宣布了拟议规则变更，旨在“帮助澄清加密资产的监管框架并为市场提供更大确定性”。</w:t>
      </w:r>
    </w:p>
    <w:p>
      <w:pPr>
        <w:spacing w:before="0" w:after="0" w:line="240" w:lineRule="auto"/>
        <w:ind w:left="0" w:right="0" w:firstLine="0"/>
        <w:jc w:val="both"/>
      </w:pPr>
      <w:r>
        <w:rPr>
          <w:rFonts w:ascii="Times New Roman" w:hAnsi="Times New Roman" w:cs="Times New Roman" w:eastAsia="仿宋"/>
          <w:b w:val="0"/>
          <w:sz w:val="28"/>
        </w:rPr>
        <w:t>· 议程包含三项规则变更提案，分别涉及加密经纪商、另类交易系统和国家证券交易所上的数字资产，以及数字资产的潜在豁免和安全港。</w:t>
      </w:r>
    </w:p>
    <w:p>
      <w:pPr>
        <w:spacing w:before="0" w:after="0" w:line="240" w:lineRule="auto"/>
        <w:ind w:left="0" w:right="0" w:firstLine="0"/>
        <w:jc w:val="both"/>
      </w:pPr>
      <w:r>
        <w:rPr>
          <w:rFonts w:ascii="Times New Roman" w:hAnsi="Times New Roman" w:cs="Times New Roman" w:eastAsia="仿宋"/>
          <w:b w:val="0"/>
          <w:sz w:val="28"/>
        </w:rPr>
        <w:t>· SEC主席Paul Atkins表示，该议程旨在与特朗普政府关于加密的政策目标保持一致，包括明确代币化证券和利用数字资产进行资本筹集。</w:t>
      </w:r>
    </w:p>
    <w:p>
      <w:pPr>
        <w:pStyle w:val="正文内容"/>
        <w:spacing w:before="0" w:after="0" w:line="240" w:lineRule="auto"/>
        <w:ind w:left="0" w:right="0" w:firstLine="560"/>
        <w:jc w:val="both"/>
      </w:pPr>
      <w:r>
        <w:rPr>
          <w:rFonts w:ascii="Times New Roman" w:hAnsi="Times New Roman" w:cs="Times New Roman" w:eastAsia="仿宋"/>
          <w:b w:val="0"/>
          <w:sz w:val="28"/>
        </w:rPr>
        <w:t>美国证券交易委员会（SEC）在2026年年度议程中宣布了拟议规则变更，SEC主席Paul Atkins称，这些规则将“帮助澄清加密资产的监管框架并为市场提供更大确定性”。Atkins在周二的一份通知中表示，该议程旨在与特朗普政府关于加密的政策目标保持一致，包括明确代币化证券和利用数字资产进行资本筹集。</w:t>
      </w:r>
    </w:p>
    <w:p>
      <w:pPr>
        <w:pStyle w:val="正文内容"/>
        <w:spacing w:before="0" w:after="0" w:line="240" w:lineRule="auto"/>
        <w:ind w:left="0" w:right="0" w:firstLine="560"/>
        <w:jc w:val="both"/>
      </w:pPr>
      <w:r>
        <w:rPr>
          <w:rFonts w:ascii="Times New Roman" w:hAnsi="Times New Roman" w:cs="Times New Roman" w:eastAsia="仿宋"/>
          <w:b w:val="0"/>
          <w:sz w:val="28"/>
        </w:rPr>
        <w:t>SEC的议程包括三项针对加密的拟议规则变更，涉及加密经纪商、另类交易系统和国家证券交易所上的数字资产，以及数字资产的潜在豁免和安全港。SEC在一份关于“与加密资产发售和销售相关”的拟议规则中表示：“拟议规则可能为市场提供更大确定性，促进资本形成，并适应加密资产市场的创新，同时确保投资者得到充分保护，并获得做出知情投资决策所需的信息。”</w:t>
      </w:r>
    </w:p>
    <w:p>
      <w:pPr>
        <w:pStyle w:val="正文内容"/>
        <w:spacing w:before="0" w:after="0" w:line="240" w:lineRule="auto"/>
        <w:ind w:left="0" w:right="0" w:firstLine="560"/>
        <w:jc w:val="both"/>
      </w:pPr>
      <w:r>
        <w:rPr>
          <w:rFonts w:ascii="Times New Roman" w:hAnsi="Times New Roman" w:cs="Times New Roman" w:eastAsia="仿宋"/>
          <w:b w:val="0"/>
          <w:sz w:val="28"/>
        </w:rPr>
        <w:t>这些拟议规则出台之际，美国国会正在审议一项加密市场结构法案的条款，该法案预计将把该行业的许多监管和执法权力从SEC移交给商品期货交易委员会。Atkins在3月曾表示，SEC将推进一个机构“桥梁”来澄清加密监管，但暗示如果国会通过立法，他将尊重立法。</w:t>
      </w:r>
    </w:p>
    <w:p>
      <w:pPr>
        <w:pStyle w:val="正文内容"/>
        <w:spacing w:before="0" w:after="0" w:line="240" w:lineRule="auto"/>
        <w:ind w:left="0" w:right="0" w:firstLine="560"/>
        <w:jc w:val="both"/>
      </w:pPr>
      <w:r>
        <w:rPr>
          <w:rFonts w:ascii="Times New Roman" w:hAnsi="Times New Roman" w:cs="Times New Roman" w:eastAsia="仿宋"/>
          <w:b w:val="0"/>
          <w:sz w:val="28"/>
        </w:rPr>
        <w:t>在特朗普总统和Atkins领导下的SEC对加密的态度招致许多批评，指责政府存在“付费参与”计划。民主党议员在1月的一封信中表示，特朗普及其关联人士从那些此前曾面临执法行动或潜在监管纠纷的公司——包括Binance、Coinbase、Ripple Labs和Kraken——中获得了经济利益，而这些公司的案件后来被撤销。</w:t>
      </w:r>
    </w:p>
    <w:p>
      <w:pPr>
        <w:pStyle w:val="正文内容"/>
        <w:spacing w:before="0" w:after="0" w:line="240" w:lineRule="auto"/>
        <w:ind w:left="0" w:right="0" w:firstLine="560"/>
        <w:jc w:val="both"/>
      </w:pPr>
      <w:r>
        <w:rPr>
          <w:rFonts w:ascii="Times New Roman" w:hAnsi="Times New Roman" w:cs="Times New Roman" w:eastAsia="仿宋"/>
          <w:b w:val="0"/>
          <w:sz w:val="28"/>
        </w:rPr>
        <w:t>三位民主党众议员在1月致Atkins的信中写道：“SEC决定让那些违反证券法的人不受惩罚，再加上主席Atkins最近声称‘大多数加密代币不是证券’——尽管联邦地区法院裁定至少某些代币是证券——这造成了真空，使得加密公司的证券违规行为得不到执法，美国投资者得不到保护。”</w:t>
      </w:r>
    </w:p>
    <w:p>
      <w:pPr>
        <w:pStyle w:val="正文内容"/>
        <w:spacing w:before="0" w:after="0" w:line="240" w:lineRule="auto"/>
        <w:ind w:left="0" w:right="0" w:firstLine="560"/>
        <w:jc w:val="both"/>
      </w:pPr>
      <w:r>
        <w:rPr>
          <w:rFonts w:ascii="Times New Roman" w:hAnsi="Times New Roman" w:cs="Times New Roman" w:eastAsia="仿宋"/>
          <w:b w:val="0"/>
          <w:sz w:val="28"/>
        </w:rPr>
        <w:t>在周一回答记者提问时，特朗普表示，他“有点为了政治”而参与加密，此前他在第一个任期后曾称比特币（BTC）是“骗局”。他最初表示自己“不是”加密的粉丝，但在2024年大选前夕，他开始与行业领袖交谈，并在公开场合推广这项技术。</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原文标题：SEC crypto rule changes are high on its 2026 agenda</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原文链接：https://cointelegraph.com/news/sec-crypto-rule-changes-2026-agenda</w:t>
      </w:r>
    </w:p>
    <w:p/>
    <w:p>
      <w:pPr>
        <w:pStyle w:val="文章一级标题"/>
        <w:spacing w:before="0" w:after="0" w:line="240" w:lineRule="auto"/>
        <w:ind w:left="0" w:right="0" w:firstLine="0"/>
        <w:jc w:val="center"/>
      </w:pPr>
      <w:r>
        <w:rPr>
          <w:rFonts w:ascii="Times New Roman" w:hAnsi="Times New Roman" w:cs="Times New Roman" w:eastAsia="黑体"/>
          <w:b w:val="0"/>
          <w:sz w:val="30"/>
        </w:rPr>
        <w:t>肯尼亚市场监管机构寻求区块链工具追踪加密犯罪</w:t>
      </w:r>
    </w:p>
    <w:p>
      <w:pPr>
        <w:spacing w:before="0" w:after="0" w:line="240" w:lineRule="auto"/>
        <w:ind w:left="0" w:right="0" w:firstLine="0"/>
        <w:jc w:val="both"/>
      </w:pPr>
      <w:r>
        <w:rPr>
          <w:rFonts w:ascii="Times New Roman" w:hAnsi="Times New Roman" w:cs="Times New Roman" w:eastAsia="仿宋"/>
          <w:b w:val="0"/>
          <w:sz w:val="28"/>
        </w:rPr>
        <w:t>· 肯尼亚资本市场管理局（Capital Markets Authority， CMA）正在招标购买一套先进的区块链分析平台，用于监控数字资产交易、调查可疑活动并执行合规，支持该国新出台的《虚拟资产服务提供商法案》。</w:t>
      </w:r>
    </w:p>
    <w:p>
      <w:pPr>
        <w:spacing w:before="0" w:after="0" w:line="240" w:lineRule="auto"/>
        <w:ind w:left="0" w:right="0" w:firstLine="0"/>
        <w:jc w:val="both"/>
      </w:pPr>
      <w:r>
        <w:rPr>
          <w:rFonts w:ascii="Times New Roman" w:hAnsi="Times New Roman" w:cs="Times New Roman" w:eastAsia="仿宋"/>
          <w:b w:val="0"/>
          <w:sz w:val="28"/>
        </w:rPr>
        <w:t>· 该平台将实时及回溯监控比特币（Bitcoin）、以太坊（Ethereum）及其他至少20条区块链，自动生成高风险钱包、大额转账、混币器、暗网地址和受制裁实体的警报，并对照联合国和美国外国资产控制办公室（OFAC）制裁名单筛查交易。</w:t>
      </w:r>
    </w:p>
    <w:p>
      <w:pPr>
        <w:spacing w:before="0" w:after="0" w:line="240" w:lineRule="auto"/>
        <w:ind w:left="0" w:right="0" w:firstLine="0"/>
        <w:jc w:val="both"/>
      </w:pPr>
      <w:r>
        <w:rPr>
          <w:rFonts w:ascii="Times New Roman" w:hAnsi="Times New Roman" w:cs="Times New Roman" w:eastAsia="仿宋"/>
          <w:b w:val="0"/>
          <w:sz w:val="28"/>
        </w:rPr>
        <w:t>· 肯尼亚是非洲最大的加密市场之一，2024年7月至2025年6月间居民接收了约190亿美元的加密货币，超过600万肯尼亚人使用数字资产，其中大部分通过非正式点对点渠道进行。</w:t>
      </w:r>
    </w:p>
    <w:p>
      <w:pPr>
        <w:pStyle w:val="正文内容"/>
        <w:spacing w:before="0" w:after="0" w:line="240" w:lineRule="auto"/>
        <w:ind w:left="0" w:right="0" w:firstLine="560"/>
        <w:jc w:val="both"/>
      </w:pPr>
      <w:r>
        <w:rPr>
          <w:rFonts w:ascii="Times New Roman" w:hAnsi="Times New Roman" w:cs="Times New Roman" w:eastAsia="仿宋"/>
          <w:b w:val="0"/>
          <w:sz w:val="28"/>
        </w:rPr>
        <w:t>肯尼亚证券监管机构希望购买一套区块链监控系统，以帮助监管该国快速增长的加密市场。根据肯尼亚资本市场管理局（CMA）发布的招标文件，该机构正在寻求一款先进的区块链分析平台，用于监控数字资产交易、调查可疑活动并执行合规。该系统将实时及回溯追踪比特币、以太坊及其他至少20条区块链的交易。</w:t>
      </w:r>
    </w:p>
    <w:p>
      <w:pPr>
        <w:pStyle w:val="正文内容"/>
        <w:spacing w:before="0" w:after="0" w:line="240" w:lineRule="auto"/>
        <w:ind w:left="0" w:right="0" w:firstLine="560"/>
        <w:jc w:val="both"/>
      </w:pPr>
      <w:r>
        <w:rPr>
          <w:rFonts w:ascii="Times New Roman" w:hAnsi="Times New Roman" w:cs="Times New Roman" w:eastAsia="仿宋"/>
          <w:b w:val="0"/>
          <w:sz w:val="28"/>
        </w:rPr>
        <w:t>该平台将自动生成针对高风险钱包、大额转账、混币器、暗网链接地址和受制裁实体的警报，并对照联合国和美国外国资产控制办公室（OFAC）的制裁名单筛查交易。它还将绘制钱包之间的关系图，重建交易时间线，跨链追踪资金，并为洗钱、勒索软件、欺诈和恐怖主义融资分配风险评分。</w:t>
      </w:r>
    </w:p>
    <w:p>
      <w:pPr>
        <w:pStyle w:val="正文内容"/>
        <w:spacing w:before="0" w:after="0" w:line="240" w:lineRule="auto"/>
        <w:ind w:left="0" w:right="0" w:firstLine="560"/>
        <w:jc w:val="both"/>
      </w:pPr>
      <w:r>
        <w:rPr>
          <w:rFonts w:ascii="Times New Roman" w:hAnsi="Times New Roman" w:cs="Times New Roman" w:eastAsia="仿宋"/>
          <w:b w:val="0"/>
          <w:sz w:val="28"/>
        </w:rPr>
        <w:t>CMA表示，其希望识别肯尼亚人最常使用的交易所，并检测为当地市场提供服务的未注册离岸平台。这些描述的功能与Chainalysis、TRM Labs和Elliptic等区块链情报公司出售的工具功能相似，这些公司向全球政府和监管机构销售类似软件。</w:t>
      </w:r>
    </w:p>
    <w:p>
      <w:pPr>
        <w:pStyle w:val="正文内容"/>
        <w:spacing w:before="0" w:after="0" w:line="240" w:lineRule="auto"/>
        <w:ind w:left="0" w:right="0" w:firstLine="560"/>
        <w:jc w:val="both"/>
      </w:pPr>
      <w:r>
        <w:rPr>
          <w:rFonts w:ascii="Times New Roman" w:hAnsi="Times New Roman" w:cs="Times New Roman" w:eastAsia="仿宋"/>
          <w:b w:val="0"/>
          <w:sz w:val="28"/>
        </w:rPr>
        <w:t>此次采购将支持肯尼亚的《虚拟资产服务提供商法案》（Virtual Assets Service Providers Act）。该法案由总统威廉·鲁托于10月签署，并于11月生效，为该国提供了首个全面的加密监管框架。法案将监督权分给肯尼亚中央银行（负责支付、稳定币和托管钱包）和CMA（负责监管交易所、经纪商、投资顾问和代币化平台），这是更广泛地遵守金融行动特别工作组（FATF）反洗钱标准的一部分。</w:t>
      </w:r>
    </w:p>
    <w:p>
      <w:pPr>
        <w:pStyle w:val="正文内容"/>
        <w:spacing w:before="0" w:after="0" w:line="240" w:lineRule="auto"/>
        <w:ind w:left="0" w:right="0" w:firstLine="560"/>
        <w:jc w:val="both"/>
      </w:pPr>
      <w:r>
        <w:rPr>
          <w:rFonts w:ascii="Times New Roman" w:hAnsi="Times New Roman" w:cs="Times New Roman" w:eastAsia="仿宋"/>
          <w:b w:val="0"/>
          <w:sz w:val="28"/>
        </w:rPr>
        <w:t>目前尚无任何公司获得许可。国家财政部于3月发布了法规草案，现有运营商必须在2026年11月之前遵守。肯尼亚是非洲最大的加密市场之一。根据Chainalysis的数据，2024年7月至2025年6月间，居民接收了约190亿美元的加密货币，在非洲大陆排名第四。超过600万肯尼亚人据估计使用数字资产，其中大部分通过非正式的点对点渠道进行。</w:t>
      </w:r>
    </w:p>
    <w:p>
      <w:pPr>
        <w:pStyle w:val="正文内容"/>
        <w:spacing w:before="0" w:after="0" w:line="240" w:lineRule="auto"/>
        <w:ind w:left="0" w:right="0" w:firstLine="560"/>
        <w:jc w:val="both"/>
      </w:pPr>
      <w:r>
        <w:rPr>
          <w:rFonts w:ascii="Times New Roman" w:hAnsi="Times New Roman" w:cs="Times New Roman" w:eastAsia="仿宋"/>
          <w:b w:val="0"/>
          <w:sz w:val="28"/>
        </w:rPr>
        <w:t>肯尼亚并非唯一寻求此类工具的国家。在美国，移民和海关执法局去年已从TRM Labs和Chainalysis购买取证软件，这两家公司已与美国联邦调查局（FBI）、缉毒局（DEA）和国税局（IRS）签订了合同；而英国税务海关总署（HMRC）也已引入TRM Labs追踪可疑交易。</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原文标题：Kenya's Markets Regulator Seeks Blockchain Tool to Track Crypto Crime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原文链接：https://decrypt.co/372932/kenyas-markets-regulator-seeks-blockchain-tool-to-track-crypto-crime</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Ondo推出永续合约平台允许代币化股票作为抵押品</w:t>
      </w:r>
    </w:p>
    <w:p>
      <w:pPr>
        <w:spacing w:before="0" w:after="0" w:line="240" w:lineRule="auto"/>
        <w:ind w:left="0" w:right="0" w:firstLine="0"/>
        <w:jc w:val="both"/>
      </w:pPr>
      <w:r>
        <w:rPr>
          <w:rFonts w:ascii="Times New Roman" w:hAnsi="Times New Roman" w:cs="Times New Roman" w:eastAsia="仿宋"/>
          <w:b w:val="0"/>
          <w:sz w:val="28"/>
        </w:rPr>
        <w:t>· Ondo Finance推出预alpha版永续合约平台Ondo Perps，允许合格交易者使用代币化股票作为抵押品，交易石油、黄金等大宗商品及苹果、特斯拉等股票永续合约，提供最高20倍杠杆，每周7天每天24小时交易，面向美国、巴拿马等禁止地区以外的用户。</w:t>
      </w:r>
    </w:p>
    <w:p>
      <w:pPr>
        <w:spacing w:before="0" w:after="0" w:line="240" w:lineRule="auto"/>
        <w:ind w:left="0" w:right="0" w:firstLine="0"/>
        <w:jc w:val="both"/>
      </w:pPr>
      <w:r>
        <w:rPr>
          <w:rFonts w:ascii="Times New Roman" w:hAnsi="Times New Roman" w:cs="Times New Roman" w:eastAsia="仿宋"/>
          <w:b w:val="0"/>
          <w:sz w:val="28"/>
        </w:rPr>
        <w:t>· Ondo Finance总裁Ian De Bode表示，“我们正迅速接近一个投资体验，坦率地说，远优于传统券商账户所能提供的。”</w:t>
      </w:r>
    </w:p>
    <w:p>
      <w:pPr>
        <w:spacing w:before="0" w:after="0" w:line="240" w:lineRule="auto"/>
        <w:ind w:left="0" w:right="0" w:firstLine="0"/>
        <w:jc w:val="both"/>
      </w:pPr>
      <w:r>
        <w:rPr>
          <w:rFonts w:ascii="Times New Roman" w:hAnsi="Times New Roman" w:cs="Times New Roman" w:eastAsia="仿宋"/>
          <w:b w:val="0"/>
          <w:sz w:val="28"/>
        </w:rPr>
        <w:t>· 平台面临竞争和监管边界问题；Ondo此前已扩展亚太、欧洲等地区超过100只美股和ETF的链上访问，近期在美国推出贝莱德iShares Core S&amp;P 500 ETF和美光的代币化版本。</w:t>
      </w:r>
    </w:p>
    <w:p>
      <w:pPr>
        <w:pStyle w:val="正文内容"/>
        <w:spacing w:before="0" w:after="0" w:line="240" w:lineRule="auto"/>
        <w:ind w:left="0" w:right="0" w:firstLine="560"/>
        <w:jc w:val="both"/>
      </w:pPr>
      <w:r>
        <w:rPr>
          <w:rFonts w:ascii="Times New Roman" w:hAnsi="Times New Roman" w:cs="Times New Roman" w:eastAsia="仿宋"/>
          <w:b w:val="0"/>
          <w:sz w:val="28"/>
        </w:rPr>
        <w:t>Ondo Finance已发布其永续合约平台的预alpha版本，允许用户使用代币化股票作为抵押品进行交易，为实物资产（Real-World Assets）在链上单纯敞口之外增添了新用例。该平台名为Ondo Perps，允许合格交易者利用代币化股票来获取与石油、黄金等大宗商品以及苹果、特斯拉等热门股票挂钩的永续合约。该服务每周7天每天24小时向美国、巴拿马及其他禁止司法管辖区以外的交易者开放。</w:t>
      </w:r>
    </w:p>
    <w:p>
      <w:pPr>
        <w:pStyle w:val="正文内容"/>
        <w:spacing w:before="0" w:after="0" w:line="240" w:lineRule="auto"/>
        <w:ind w:left="0" w:right="0" w:firstLine="560"/>
        <w:jc w:val="both"/>
      </w:pPr>
      <w:r>
        <w:rPr>
          <w:rFonts w:ascii="Times New Roman" w:hAnsi="Times New Roman" w:cs="Times New Roman" w:eastAsia="仿宋"/>
          <w:b w:val="0"/>
          <w:sz w:val="28"/>
        </w:rPr>
        <w:t>此举旨在回应代币化实物资产面临的核心问题之一：它们能否成为活跃的金融基础设施，而非链下证券的静态代表。如果代币化股票能在衍生品市场中用作抵押品，它们可能在交易、保证金管理和资本效率方面发挥更广泛的作用。Ondo表示，该平台旨在提供接近传统衍生品交易场所的流动性和资本效率，同时保持代币化资产的链上结构。该公司还提供早期交易奖励，包括与首周活动挂钩的15万美元USDC。</w:t>
      </w:r>
    </w:p>
    <w:p>
      <w:pPr>
        <w:pStyle w:val="正文内容"/>
        <w:spacing w:before="0" w:after="0" w:line="240" w:lineRule="auto"/>
        <w:ind w:left="0" w:right="0" w:firstLine="560"/>
        <w:jc w:val="both"/>
      </w:pPr>
      <w:r>
        <w:rPr>
          <w:rFonts w:ascii="Times New Roman" w:hAnsi="Times New Roman" w:cs="Times New Roman" w:eastAsia="仿宋"/>
          <w:b w:val="0"/>
          <w:sz w:val="28"/>
        </w:rPr>
        <w:t>Ondo Finance总裁Ian De Bode将这一变化视为市场准入更广泛转变的一部分。他表示：“我们正迅速接近一个投资体验，坦率地说，远优于传统券商账户所能提供的。”代币化股票主要被视作传统市场敞口的链上版本，而新产品通过将其视为可支持跨市场杠杆交易的抵押品，改变了这一框架。抵押品效用是代币化资产对交易者更有用的主要方式之一。</w:t>
      </w:r>
    </w:p>
    <w:p>
      <w:pPr>
        <w:pStyle w:val="正文内容"/>
        <w:spacing w:before="0" w:after="0" w:line="240" w:lineRule="auto"/>
        <w:ind w:left="0" w:right="0" w:firstLine="560"/>
        <w:jc w:val="both"/>
      </w:pPr>
      <w:r>
        <w:rPr>
          <w:rFonts w:ascii="Times New Roman" w:hAnsi="Times New Roman" w:cs="Times New Roman" w:eastAsia="仿宋"/>
          <w:b w:val="0"/>
          <w:sz w:val="28"/>
        </w:rPr>
        <w:t>该平台在美国、巴拿马及其他禁止司法管辖区之外提供服务，表明代币化股票和衍生品仍受监管边界的严格约束。代币化股票虽在链上交易，但仍参考在传统市场中受监管的证券，因此司法管辖区准入成为商业模式的核心。向符合条件的全球用户提供每周7天每天24小时的无许可交易，为Ondo提供了更广阔的市场，但排除美国用户降低了推出股票挂钩永续合约和代币化股票抵押品所面临的监管压力。</w:t>
      </w:r>
    </w:p>
    <w:p>
      <w:pPr>
        <w:pStyle w:val="正文内容"/>
        <w:spacing w:before="0" w:after="0" w:line="240" w:lineRule="auto"/>
        <w:ind w:left="0" w:right="0" w:firstLine="560"/>
        <w:jc w:val="both"/>
      </w:pPr>
      <w:r>
        <w:rPr>
          <w:rFonts w:ascii="Times New Roman" w:hAnsi="Times New Roman" w:cs="Times New Roman" w:eastAsia="仿宋"/>
          <w:b w:val="0"/>
          <w:sz w:val="28"/>
        </w:rPr>
        <w:t>Ondo进入了一个竞争激烈的永续合约市场，其中已有Hyperliquid、Ostium等加密原生平台。Ondo的主要差异点在于实物资产代币化与衍生品抵押品之间的关联。公司过去一年一直在扩展其代币化资产业务。此前，Ondo已为亚太、欧洲、非洲和拉丁美洲的合格投资者提供超过100只美股和ETF的每周7天每天24小时链上访问。</w:t>
      </w:r>
    </w:p>
    <w:p>
      <w:pPr>
        <w:pStyle w:val="正文内容"/>
        <w:spacing w:before="0" w:after="0" w:line="240" w:lineRule="auto"/>
        <w:ind w:left="0" w:right="0" w:firstLine="560"/>
        <w:jc w:val="both"/>
      </w:pPr>
      <w:r>
        <w:rPr>
          <w:rFonts w:ascii="Times New Roman" w:hAnsi="Times New Roman" w:cs="Times New Roman" w:eastAsia="仿宋"/>
          <w:b w:val="0"/>
          <w:sz w:val="28"/>
        </w:rPr>
        <w:t>近期，Ondo通过第三方托管框架在美国推出了贝莱德iShares Core S&amp;P 500 ETF和美光（Micron）股票代币化版本，扩大了其在美国的足迹。这一扩展为Ondo的永续合约策略提供了更广泛的基础。支持的代币化股票和ETF越多，其抵押品模型就越有用。交易者最终可以使用与股票挂钩的资产来管理跨大宗商品、股票和其他永续市场的敞口，而无需将资本转回传统券商轨道。</w:t>
      </w:r>
    </w:p>
    <w:p>
      <w:pPr>
        <w:pStyle w:val="正文内容"/>
        <w:spacing w:before="0" w:after="0" w:line="240" w:lineRule="auto"/>
        <w:ind w:left="0" w:right="0" w:firstLine="560"/>
        <w:jc w:val="both"/>
      </w:pPr>
      <w:r>
        <w:rPr>
          <w:rFonts w:ascii="Times New Roman" w:hAnsi="Times New Roman" w:cs="Times New Roman" w:eastAsia="仿宋"/>
          <w:b w:val="0"/>
          <w:sz w:val="28"/>
        </w:rPr>
        <w:t>风险在于代币化股票产品处于复杂的监管区域。如果准入规则收紧，或者监管机构质疑股票支持代币在杠杆衍生品交易中的使用，增长可能放缓。流动性同样重要。围绕资本效率构建的平台需要深度市场、可靠定价，以及抵押品在波动期间能被估值和管理的信心。因此，Ondo的预alpha发布是代币化股票能否从市场准入产品转变为核心交易基础设施的早期测试。如果该模式获得吸引力，代币化实物资产可能从被动敞口转向交易者如何为头寸融资、对冲和杠杆操作的核心工具。</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原文标题：Ondo Launches Perps Platform Using Tokenized Stocks as Collateral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原文链接：https://financefeeds.com/ondo-launches-perps-platform-using-tokenized-stocks-as-collateral/</w:t>
      </w:r>
    </w:p>
    <w:p/>
    <w:p>
      <w:pPr>
        <w:pStyle w:val="文章一级标题"/>
        <w:spacing w:before="0" w:after="0" w:line="240" w:lineRule="auto"/>
        <w:ind w:left="0" w:right="0" w:firstLine="0"/>
        <w:jc w:val="center"/>
      </w:pPr>
      <w:r>
        <w:rPr>
          <w:rFonts w:ascii="Times New Roman" w:hAnsi="Times New Roman" w:cs="Times New Roman" w:eastAsia="黑体"/>
          <w:b w:val="0"/>
          <w:sz w:val="30"/>
        </w:rPr>
        <w:t>RealFi推出USDr公开测试网为主网上线铺路</w:t>
      </w:r>
    </w:p>
    <w:p>
      <w:pPr>
        <w:spacing w:before="0" w:after="0" w:line="240" w:lineRule="auto"/>
        <w:ind w:left="0" w:right="0" w:firstLine="0"/>
        <w:jc w:val="both"/>
      </w:pPr>
      <w:r>
        <w:rPr>
          <w:rFonts w:ascii="Times New Roman" w:hAnsi="Times New Roman" w:cs="Times New Roman" w:eastAsia="仿宋"/>
          <w:b w:val="0"/>
          <w:sz w:val="28"/>
        </w:rPr>
        <w:t>· RealFi 宣布推出 USDr 及其收益代币 sUSDr 的公开测试网，计划于今年晚些时候启动主网。</w:t>
      </w:r>
    </w:p>
    <w:p>
      <w:pPr>
        <w:spacing w:before="0" w:after="0" w:line="240" w:lineRule="auto"/>
        <w:ind w:left="0" w:right="0" w:firstLine="0"/>
        <w:jc w:val="both"/>
      </w:pPr>
      <w:r>
        <w:rPr>
          <w:rFonts w:ascii="Times New Roman" w:hAnsi="Times New Roman" w:cs="Times New Roman" w:eastAsia="仿宋"/>
          <w:b w:val="0"/>
          <w:sz w:val="28"/>
        </w:rPr>
        <w:t>· USDr 是非生息的基础稳定币，质押后可获得 sUSDr，其收益来自货币市场基金、企业浮动利率债券等现实世界金融工具，目标年化收益率高达 9%。</w:t>
      </w:r>
    </w:p>
    <w:p>
      <w:pPr>
        <w:spacing w:before="0" w:after="0" w:line="240" w:lineRule="auto"/>
        <w:ind w:left="0" w:right="0" w:firstLine="0"/>
        <w:jc w:val="both"/>
      </w:pPr>
      <w:r>
        <w:rPr>
          <w:rFonts w:ascii="Times New Roman" w:hAnsi="Times New Roman" w:cs="Times New Roman" w:eastAsia="仿宋"/>
          <w:b w:val="0"/>
          <w:sz w:val="28"/>
        </w:rPr>
        <w:t>· RealFi CEO John O'Connor 表示，稳定币资本大量闲置是数字资产领域的低效问题，下一阶段应创建基础设施让这些资产参与真实经济活动。</w:t>
      </w:r>
    </w:p>
    <w:p>
      <w:pPr>
        <w:pStyle w:val="正文内容"/>
        <w:spacing w:before="0" w:after="0" w:line="240" w:lineRule="auto"/>
        <w:ind w:left="0" w:right="0" w:firstLine="560"/>
        <w:jc w:val="both"/>
      </w:pPr>
      <w:r>
        <w:rPr>
          <w:rFonts w:ascii="Times New Roman" w:hAnsi="Times New Roman" w:cs="Times New Roman" w:eastAsia="仿宋"/>
          <w:b w:val="0"/>
          <w:sz w:val="28"/>
        </w:rPr>
        <w:t>稳定币基础设施平台 RealFi 于 2026 年 7 月 6 日宣布推出其公开测试网（Public Testnet），标志着其美元锚定稳定币 USDr 及质押收益代币 sUSDr 上线计划进入新阶段。该测试网旨在为用户、开发者及机构参与者提供一个实时环境，在主网启动前测试 RealFi 的基础设施。</w:t>
      </w:r>
    </w:p>
    <w:p>
      <w:pPr>
        <w:pStyle w:val="正文内容"/>
        <w:spacing w:before="0" w:after="0" w:line="240" w:lineRule="auto"/>
        <w:ind w:left="0" w:right="0" w:firstLine="560"/>
        <w:jc w:val="both"/>
      </w:pPr>
      <w:r>
        <w:rPr>
          <w:rFonts w:ascii="Times New Roman" w:hAnsi="Times New Roman" w:cs="Times New Roman" w:eastAsia="仿宋"/>
          <w:b w:val="0"/>
          <w:sz w:val="28"/>
        </w:rPr>
        <w:t>RealFi 将此次发布视为解决数字资产领域最大低效问题之一的一部分：大量稳定币资本闲置在交易所、钱包和财库账户中。USDr 是协议中的流动、非生息基础稳定币，持有者选择质押 USDr 后将获得 sUSDr——一种独立的生息工具。</w:t>
      </w:r>
    </w:p>
    <w:p>
      <w:pPr>
        <w:pStyle w:val="正文内容"/>
        <w:spacing w:before="0" w:after="0" w:line="240" w:lineRule="auto"/>
        <w:ind w:left="0" w:right="0" w:firstLine="560"/>
        <w:jc w:val="both"/>
      </w:pPr>
      <w:r>
        <w:rPr>
          <w:rFonts w:ascii="Times New Roman" w:hAnsi="Times New Roman" w:cs="Times New Roman" w:eastAsia="仿宋"/>
          <w:b w:val="0"/>
          <w:sz w:val="28"/>
        </w:rPr>
        <w:t>sUSDr 的收益来自现实世界金融工具储备，包括货币市场基金（money market funds）、企业浮动利率债券（corporate floating rate bonds）以及向金融科技公司的直接贷款，而非依赖加密原生的代币激励或通胀发行模型。RealFi 的目标是通过储备支持结构实现高达 9% 的年化收益率（APY），但强调收益为指示性、可变且不保证。</w:t>
      </w:r>
    </w:p>
    <w:p>
      <w:pPr>
        <w:pStyle w:val="正文内容"/>
        <w:spacing w:before="0" w:after="0" w:line="240" w:lineRule="auto"/>
        <w:ind w:left="0" w:right="0" w:firstLine="560"/>
        <w:jc w:val="both"/>
      </w:pPr>
      <w:r>
        <w:rPr>
          <w:rFonts w:ascii="Times New Roman" w:hAnsi="Times New Roman" w:cs="Times New Roman" w:eastAsia="仿宋"/>
          <w:b w:val="0"/>
          <w:sz w:val="28"/>
        </w:rPr>
        <w:t>测试网上线引入了 RealFi 基础设施堆栈的首个公开版本，参与者可在实时市场条件下探索钱包集成、收益机制、质押流程及更广泛的协议功能。RealFi CEO John O'Connor 表示：“稳定币已成为数字金融中最重要的基础设施之一，但其中大部分资本仍处于经济上非生产性状态。市场的下一阶段不仅仅是把美元放到链上，而是创建基础设施，让这些资产在保持用户期望的流动性和可访问性的同时，参与真实经济活动。”</w:t>
      </w:r>
    </w:p>
    <w:p>
      <w:pPr>
        <w:pStyle w:val="正文内容"/>
        <w:spacing w:before="0" w:after="0" w:line="240" w:lineRule="auto"/>
        <w:ind w:left="0" w:right="0" w:firstLine="560"/>
        <w:jc w:val="both"/>
      </w:pPr>
      <w:r>
        <w:rPr>
          <w:rFonts w:ascii="Times New Roman" w:hAnsi="Times New Roman" w:cs="Times New Roman" w:eastAsia="仿宋"/>
          <w:b w:val="0"/>
          <w:sz w:val="28"/>
        </w:rPr>
        <w:t>此次发布正值全球机构对代币化现实世界资产和生息稳定币模型的兴趣加速增长。据 RealFi 称，市场正日益从投机性收益结构转向由传统金融工具和可验证现金流支持的模型。RealFi 的基础设施将在 Cardano 上推出，随后很快在 Ethereum 上部署，将储备支持收益与 Cardano 原生质押机制及稳定性导向架构相结合，旨在减少对波动性 DeFi 市场条件的依赖。</w:t>
      </w:r>
    </w:p>
    <w:p>
      <w:pPr>
        <w:pStyle w:val="正文内容"/>
        <w:spacing w:before="0" w:after="0" w:line="240" w:lineRule="auto"/>
        <w:ind w:left="0" w:right="0" w:firstLine="560"/>
        <w:jc w:val="both"/>
      </w:pPr>
      <w:r>
        <w:rPr>
          <w:rFonts w:ascii="Times New Roman" w:hAnsi="Times New Roman" w:cs="Times New Roman" w:eastAsia="仿宋"/>
          <w:b w:val="0"/>
          <w:sz w:val="28"/>
        </w:rPr>
        <w:t>公开测试网还被设计为在主网推出前进行大规模基础设施和市场压力测试，来自用户和合作伙伴的反馈预计将指导下一阶段的部署。O'Connor 补充道：“我们相信稳定币的未来将更接近金融基础设施，而非投机性加密产品。长期机会在于构建数字美元不仅稳定且具有生产力的系统。”</w:t>
      </w:r>
    </w:p>
    <w:p>
      <w:pPr>
        <w:pStyle w:val="正文内容"/>
        <w:spacing w:before="0" w:after="0" w:line="240" w:lineRule="auto"/>
        <w:ind w:left="0" w:right="0" w:firstLine="560"/>
        <w:jc w:val="both"/>
      </w:pPr>
      <w:r>
        <w:rPr>
          <w:rFonts w:ascii="Times New Roman" w:hAnsi="Times New Roman" w:cs="Times New Roman" w:eastAsia="仿宋"/>
          <w:b w:val="0"/>
          <w:sz w:val="28"/>
        </w:rPr>
        <w:t>测试网的推出正值机构对代币化、链上固定收益产品和基于稳定币的结算基础设施关注度日益增长之际，金融市场正持续探索区块链赋能的资本市场。RealFi 产品不向美国、欧盟、英国、香港及其他受限或受制裁司法管辖区的用户提供，每位用户有责任在访问平台前确保遵守当地法律法规。</w:t>
      </w:r>
    </w:p>
    <w:p>
      <w:pPr>
        <w:pStyle w:val="正文内容"/>
        <w:spacing w:before="0" w:after="0" w:line="240" w:lineRule="auto"/>
        <w:ind w:left="0" w:right="0" w:firstLine="560"/>
        <w:jc w:val="both"/>
      </w:pPr>
      <w:r>
        <w:rPr>
          <w:rFonts w:ascii="Times New Roman" w:hAnsi="Times New Roman" w:cs="Times New Roman" w:eastAsia="仿宋"/>
          <w:b w:val="0"/>
          <w:sz w:val="28"/>
        </w:rPr>
        <w:t>本新闻稿包含前瞻性陈述，包括产品上线时间、平台开发里程碑等，这些陈述仅反映当前预期，受风险、不确定性和情况变化影响。USDr 是一种数字资产，提供对现实世界金融工具组合的敞口，非银行存款，无保险，存在风险，包括本金损失的可能性。收益率基于市场条件可变且不保证。赎回可能受时机延迟、流动性限制和市场条件影响。</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原文标题：RealFi Launches Public Testnet for USDr Ahead of Mainnet Rollout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原文链接：https://www.coindesk.com/press-release/2026/07/06/realfi-launches-public-testnet-for-usdr-ahead-of-mainnet-rollout</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EDXMarkets完成7600万美元C轮融资SBIHoldings领投</w:t>
      </w:r>
    </w:p>
    <w:p>
      <w:pPr>
        <w:spacing w:before="0" w:after="0" w:line="240" w:lineRule="auto"/>
        <w:ind w:left="0" w:right="0" w:firstLine="0"/>
        <w:jc w:val="both"/>
      </w:pPr>
      <w:r>
        <w:rPr>
          <w:rFonts w:ascii="Times New Roman" w:hAnsi="Times New Roman" w:cs="Times New Roman" w:eastAsia="仿宋"/>
          <w:b w:val="0"/>
          <w:sz w:val="28"/>
        </w:rPr>
        <w:t>· 机构加密货币交易平台 EDX Markets 完成 7600 万美元 C 轮融资，由 SBI Holdings 领投。</w:t>
      </w:r>
    </w:p>
    <w:p>
      <w:pPr>
        <w:spacing w:before="0" w:after="0" w:line="240" w:lineRule="auto"/>
        <w:ind w:left="0" w:right="0" w:firstLine="0"/>
        <w:jc w:val="both"/>
      </w:pPr>
      <w:r>
        <w:rPr>
          <w:rFonts w:ascii="Times New Roman" w:hAnsi="Times New Roman" w:cs="Times New Roman" w:eastAsia="仿宋"/>
          <w:b w:val="0"/>
          <w:sz w:val="28"/>
        </w:rPr>
        <w:t>· 融资将用于新产品开发和国际市场扩张。</w:t>
      </w:r>
    </w:p>
    <w:p>
      <w:pPr>
        <w:spacing w:before="0" w:after="0" w:line="240" w:lineRule="auto"/>
        <w:ind w:left="0" w:right="0" w:firstLine="0"/>
        <w:jc w:val="both"/>
      </w:pPr>
      <w:r>
        <w:rPr>
          <w:rFonts w:ascii="Times New Roman" w:hAnsi="Times New Roman" w:cs="Times New Roman" w:eastAsia="仿宋"/>
          <w:b w:val="0"/>
          <w:sz w:val="28"/>
        </w:rPr>
        <w:t>· EDX 通过中央清算所分离交易与托管，旨在降低对手方风险，并已申请美国国家信托银行牌照。</w:t>
      </w:r>
    </w:p>
    <w:p>
      <w:pPr>
        <w:pStyle w:val="正文内容"/>
        <w:spacing w:before="0" w:after="0" w:line="240" w:lineRule="auto"/>
        <w:ind w:left="0" w:right="0" w:firstLine="560"/>
        <w:jc w:val="both"/>
      </w:pPr>
      <w:r>
        <w:rPr>
          <w:rFonts w:ascii="Times New Roman" w:hAnsi="Times New Roman" w:cs="Times New Roman" w:eastAsia="仿宋"/>
          <w:b w:val="0"/>
          <w:sz w:val="28"/>
        </w:rPr>
        <w:t>机构加密货币交易平台EDX市场完成七千六百万美元系列C轮融资，由SBI控股公司领投。</w:t>
      </w:r>
    </w:p>
    <w:p>
      <w:pPr>
        <w:pStyle w:val="正文内容"/>
        <w:spacing w:before="0" w:after="0" w:line="240" w:lineRule="auto"/>
        <w:ind w:left="0" w:right="0" w:firstLine="560"/>
        <w:jc w:val="both"/>
      </w:pPr>
      <w:r>
        <w:rPr>
          <w:rFonts w:ascii="Times New Roman" w:hAnsi="Times New Roman" w:cs="Times New Roman" w:eastAsia="仿宋"/>
          <w:b w:val="0"/>
          <w:sz w:val="28"/>
        </w:rPr>
        <w:t>EDX市场在由SBI控股公司领投的系列C轮融资中筹集了七千六百万美元。</w:t>
      </w:r>
    </w:p>
    <w:p>
      <w:pPr>
        <w:pStyle w:val="正文内容"/>
        <w:spacing w:before="0" w:after="0" w:line="240" w:lineRule="auto"/>
        <w:ind w:left="0" w:right="0" w:firstLine="560"/>
        <w:jc w:val="both"/>
      </w:pPr>
      <w:r>
        <w:rPr>
          <w:rFonts w:ascii="Times New Roman" w:hAnsi="Times New Roman" w:cs="Times New Roman" w:eastAsia="仿宋"/>
          <w:b w:val="0"/>
          <w:sz w:val="28"/>
        </w:rPr>
        <w:t>EDX市场在由SBI控股公司领投的融资轮中筹集七千六百万美元。</w:t>
      </w:r>
    </w:p>
    <w:p>
      <w:pPr>
        <w:pStyle w:val="正文内容"/>
        <w:spacing w:before="0" w:after="0" w:line="240" w:lineRule="auto"/>
        <w:ind w:left="0" w:right="0" w:firstLine="560"/>
        <w:jc w:val="both"/>
      </w:pPr>
      <w:r>
        <w:rPr>
          <w:rFonts w:ascii="Times New Roman" w:hAnsi="Times New Roman" w:cs="Times New Roman" w:eastAsia="仿宋"/>
          <w:b w:val="0"/>
          <w:sz w:val="28"/>
        </w:rPr>
        <w:t>EDX的模式针对机构客户，通过中央清算所将交易与托管分离，以最小化对手方风险。</w:t>
      </w:r>
    </w:p>
    <w:p>
      <w:pPr>
        <w:pStyle w:val="正文内容"/>
        <w:spacing w:before="0" w:after="0" w:line="240" w:lineRule="auto"/>
        <w:ind w:left="0" w:right="0" w:firstLine="560"/>
        <w:jc w:val="both"/>
      </w:pPr>
      <w:r>
        <w:rPr>
          <w:rFonts w:ascii="Times New Roman" w:hAnsi="Times New Roman" w:cs="Times New Roman" w:eastAsia="仿宋"/>
          <w:b w:val="0"/>
          <w:sz w:val="28"/>
        </w:rPr>
        <w:t>本文由Francisco Rodrigues撰写，Sheldon Reback编辑，发布于2026年7月7日下午2点07分，阅读时间约一分钟。</w:t>
      </w:r>
    </w:p>
    <w:p>
      <w:pPr>
        <w:pStyle w:val="正文内容"/>
        <w:spacing w:before="0" w:after="0" w:line="240" w:lineRule="auto"/>
        <w:ind w:left="0" w:right="0" w:firstLine="560"/>
        <w:jc w:val="both"/>
      </w:pPr>
      <w:r>
        <w:rPr>
          <w:rFonts w:ascii="Times New Roman" w:hAnsi="Times New Roman" w:cs="Times New Roman" w:eastAsia="仿宋"/>
          <w:b w:val="0"/>
          <w:sz w:val="28"/>
        </w:rPr>
        <w:t>SBI控股公司主导了EDX市场的七千六百万美元融资。</w:t>
      </w:r>
    </w:p>
    <w:p>
      <w:pPr>
        <w:pStyle w:val="正文内容"/>
        <w:spacing w:before="0" w:after="0" w:line="240" w:lineRule="auto"/>
        <w:ind w:left="0" w:right="0" w:firstLine="560"/>
        <w:jc w:val="both"/>
      </w:pPr>
      <w:r>
        <w:rPr>
          <w:rFonts w:ascii="Times New Roman" w:hAnsi="Times New Roman" w:cs="Times New Roman" w:eastAsia="仿宋"/>
          <w:b w:val="0"/>
          <w:sz w:val="28"/>
        </w:rPr>
        <w:t>EDX市场是一个机构加密货币交易平台，在由SBI控股公司领投的融资轮中筹集了七千六百万美元，用于产品开发和国际扩张。</w:t>
      </w:r>
    </w:p>
    <w:p>
      <w:pPr>
        <w:pStyle w:val="正文内容"/>
        <w:spacing w:before="0" w:after="0" w:line="240" w:lineRule="auto"/>
        <w:ind w:left="0" w:right="0" w:firstLine="560"/>
        <w:jc w:val="both"/>
      </w:pPr>
      <w:r>
        <w:rPr>
          <w:rFonts w:ascii="Times New Roman" w:hAnsi="Times New Roman" w:cs="Times New Roman" w:eastAsia="仿宋"/>
          <w:b w:val="0"/>
          <w:sz w:val="28"/>
        </w:rPr>
        <w:t>EDX的模式通过中央清算所分离交易与托管来服务机构客户，以最小化对手方风险。</w:t>
      </w:r>
    </w:p>
    <w:p>
      <w:pPr>
        <w:pStyle w:val="正文内容"/>
        <w:spacing w:before="0" w:after="0" w:line="240" w:lineRule="auto"/>
        <w:ind w:left="0" w:right="0" w:firstLine="560"/>
        <w:jc w:val="both"/>
      </w:pPr>
      <w:r>
        <w:rPr>
          <w:rFonts w:ascii="Times New Roman" w:hAnsi="Times New Roman" w:cs="Times New Roman" w:eastAsia="仿宋"/>
          <w:b w:val="0"/>
          <w:sz w:val="28"/>
        </w:rPr>
        <w:t>该平台正通过其FlowConnect产品拓展现货交易之外的服务，并已申请美国国家信托银行牌照。</w:t>
      </w:r>
    </w:p>
    <w:p>
      <w:pPr>
        <w:pStyle w:val="正文内容"/>
        <w:spacing w:before="0" w:after="0" w:line="240" w:lineRule="auto"/>
        <w:ind w:left="0" w:right="0" w:firstLine="560"/>
        <w:jc w:val="both"/>
      </w:pPr>
      <w:r>
        <w:rPr>
          <w:rFonts w:ascii="Times New Roman" w:hAnsi="Times New Roman" w:cs="Times New Roman" w:eastAsia="仿宋"/>
          <w:b w:val="0"/>
          <w:sz w:val="28"/>
        </w:rPr>
        <w:t>机构加密货币交易平台EDX市场表示，其在由SBI控股公司领投的系列C轮融资中筹集了七千六百万美元。</w:t>
      </w:r>
    </w:p>
    <w:p>
      <w:pPr>
        <w:pStyle w:val="正文内容"/>
        <w:spacing w:before="0" w:after="0" w:line="240" w:lineRule="auto"/>
        <w:ind w:left="0" w:right="0" w:firstLine="560"/>
        <w:jc w:val="both"/>
      </w:pPr>
      <w:r>
        <w:rPr>
          <w:rFonts w:ascii="Times New Roman" w:hAnsi="Times New Roman" w:cs="Times New Roman" w:eastAsia="仿宋"/>
          <w:b w:val="0"/>
          <w:sz w:val="28"/>
        </w:rPr>
        <w:t>公司计划将这些资金用于新产品开发和国际增长。</w:t>
      </w:r>
    </w:p>
    <w:p>
      <w:pPr>
        <w:pStyle w:val="正文内容"/>
        <w:spacing w:before="0" w:after="0" w:line="240" w:lineRule="auto"/>
        <w:ind w:left="0" w:right="0" w:firstLine="560"/>
        <w:jc w:val="both"/>
      </w:pPr>
      <w:r>
        <w:rPr>
          <w:rFonts w:ascii="Times New Roman" w:hAnsi="Times New Roman" w:cs="Times New Roman" w:eastAsia="仿宋"/>
          <w:b w:val="0"/>
          <w:sz w:val="28"/>
        </w:rPr>
        <w:t>EDX运营着一个仅面向机构的加密货币市场，通过中央清算所将交易、托管和结算分离。</w:t>
      </w:r>
    </w:p>
    <w:p>
      <w:pPr>
        <w:pStyle w:val="正文内容"/>
        <w:spacing w:before="0" w:after="0" w:line="240" w:lineRule="auto"/>
        <w:ind w:left="0" w:right="0" w:firstLine="560"/>
        <w:jc w:val="both"/>
      </w:pPr>
      <w:r>
        <w:rPr>
          <w:rFonts w:ascii="Times New Roman" w:hAnsi="Times New Roman" w:cs="Times New Roman" w:eastAsia="仿宋"/>
          <w:b w:val="0"/>
          <w:sz w:val="28"/>
        </w:rPr>
        <w:t>该模式旨在降低对手方风险，并模仿传统金融市场的结构。</w:t>
      </w:r>
    </w:p>
    <w:p>
      <w:pPr>
        <w:pStyle w:val="正文内容"/>
        <w:spacing w:before="0" w:after="0" w:line="240" w:lineRule="auto"/>
        <w:ind w:left="0" w:right="0" w:firstLine="560"/>
        <w:jc w:val="both"/>
      </w:pPr>
      <w:r>
        <w:rPr>
          <w:rFonts w:ascii="Times New Roman" w:hAnsi="Times New Roman" w:cs="Times New Roman" w:eastAsia="仿宋"/>
          <w:b w:val="0"/>
          <w:sz w:val="28"/>
        </w:rPr>
        <w:t>SBI控股公司一直是日本在加密货币领域最活跃的金融集团之一。</w:t>
      </w:r>
    </w:p>
    <w:p>
      <w:pPr>
        <w:pStyle w:val="正文内容"/>
        <w:spacing w:before="0" w:after="0" w:line="240" w:lineRule="auto"/>
        <w:ind w:left="0" w:right="0" w:firstLine="560"/>
        <w:jc w:val="both"/>
      </w:pPr>
      <w:r>
        <w:rPr>
          <w:rFonts w:ascii="Times New Roman" w:hAnsi="Times New Roman" w:cs="Times New Roman" w:eastAsia="仿宋"/>
          <w:b w:val="0"/>
          <w:sz w:val="28"/>
        </w:rPr>
        <w:t>其子公司SBI VC Trade提供瑞波旗下稳定币RLUSD的日本市场准入，而SBI Shinsei Trust Bank近期与Startale Group合作发行了日元计价稳定币JPYSC。</w:t>
      </w:r>
    </w:p>
    <w:p>
      <w:pPr>
        <w:pStyle w:val="正文内容"/>
        <w:spacing w:before="0" w:after="0" w:line="240" w:lineRule="auto"/>
        <w:ind w:left="0" w:right="0" w:firstLine="560"/>
        <w:jc w:val="both"/>
      </w:pPr>
      <w:r>
        <w:rPr>
          <w:rFonts w:ascii="Times New Roman" w:hAnsi="Times New Roman" w:cs="Times New Roman" w:eastAsia="仿宋"/>
          <w:b w:val="0"/>
          <w:sz w:val="28"/>
        </w:rPr>
        <w:t>上个月，SBI同意以四百六十七亿日元（约二亿八千九百万美元）收购加密货币交易所Bitbank，从而增强其现有的SBI VC Trade平台。</w:t>
      </w:r>
    </w:p>
    <w:p>
      <w:pPr>
        <w:pStyle w:val="正文内容"/>
        <w:spacing w:before="0" w:after="0" w:line="240" w:lineRule="auto"/>
        <w:ind w:left="0" w:right="0" w:firstLine="560"/>
        <w:jc w:val="both"/>
      </w:pPr>
      <w:r>
        <w:rPr>
          <w:rFonts w:ascii="Times New Roman" w:hAnsi="Times New Roman" w:cs="Times New Roman" w:eastAsia="仿宋"/>
          <w:b w:val="0"/>
          <w:sz w:val="28"/>
        </w:rPr>
        <w:t>EDX一直在拓展现货交易之外的服务。</w:t>
      </w:r>
    </w:p>
    <w:p>
      <w:pPr>
        <w:pStyle w:val="正文内容"/>
        <w:spacing w:before="0" w:after="0" w:line="240" w:lineRule="auto"/>
        <w:ind w:left="0" w:right="0" w:firstLine="560"/>
        <w:jc w:val="both"/>
      </w:pPr>
      <w:r>
        <w:rPr>
          <w:rFonts w:ascii="Times New Roman" w:hAnsi="Times New Roman" w:cs="Times New Roman" w:eastAsia="仿宋"/>
          <w:b w:val="0"/>
          <w:sz w:val="28"/>
        </w:rPr>
        <w:t>今年早些时候，该公司推出了FlowConnect，这是一款加密即服务产品，允许金融机构向其客户提供加密货币交易。</w:t>
      </w:r>
    </w:p>
    <w:p>
      <w:pPr>
        <w:pStyle w:val="正文内容"/>
        <w:spacing w:before="0" w:after="0" w:line="240" w:lineRule="auto"/>
        <w:ind w:left="0" w:right="0" w:firstLine="560"/>
        <w:jc w:val="both"/>
      </w:pPr>
      <w:r>
        <w:rPr>
          <w:rFonts w:ascii="Times New Roman" w:hAnsi="Times New Roman" w:cs="Times New Roman" w:eastAsia="仿宋"/>
          <w:b w:val="0"/>
          <w:sz w:val="28"/>
        </w:rPr>
        <w:t>公司于今年四月通过货币监理署（OCC）申请了美国国家信托银行牌照。</w:t>
      </w:r>
    </w:p>
    <w:p>
      <w:pPr>
        <w:pStyle w:val="正文内容"/>
        <w:spacing w:before="0" w:after="0" w:line="240" w:lineRule="auto"/>
        <w:ind w:left="0" w:right="0" w:firstLine="560"/>
        <w:jc w:val="both"/>
      </w:pPr>
      <w:r>
        <w:rPr>
          <w:rFonts w:ascii="Times New Roman" w:hAnsi="Times New Roman" w:cs="Times New Roman" w:eastAsia="仿宋"/>
          <w:b w:val="0"/>
          <w:sz w:val="28"/>
        </w:rPr>
        <w:t>如果获得批准，EDX Trust将为加密货币客户提供受监管的托管、清算、结算和风险管理服务。</w:t>
      </w:r>
    </w:p>
    <w:p>
      <w:pPr>
        <w:pStyle w:val="正文内容"/>
        <w:spacing w:before="0" w:after="0" w:line="240" w:lineRule="auto"/>
        <w:ind w:left="0" w:right="0" w:firstLine="560"/>
        <w:jc w:val="both"/>
      </w:pPr>
      <w:r>
        <w:rPr>
          <w:rFonts w:ascii="Times New Roman" w:hAnsi="Times New Roman" w:cs="Times New Roman" w:eastAsia="仿宋"/>
          <w:b w:val="0"/>
          <w:sz w:val="28"/>
        </w:rPr>
        <w:t>EDX于二零二三年启动，初始投资者包括Citadel Securities、Fidelity Digital Assets、Charles Schwab、Paradigm和Sequoia Capital。</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原文标题：EDX Markets raises $76 million in funding round led by SBI Holdings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原文链接：https://www.coindesk.com/business/2026/07/07/edx-markets-raises-usd76-million-in-funding-round-led-by-sbi-holdings</w:t>
      </w:r>
    </w:p>
    <w:p/>
    <w:p>
      <w:pPr>
        <w:pStyle w:val="文章一级标题"/>
        <w:spacing w:before="0" w:after="0" w:line="240" w:lineRule="auto"/>
        <w:ind w:left="0" w:right="0" w:firstLine="0"/>
        <w:jc w:val="center"/>
      </w:pPr>
      <w:r>
        <w:rPr>
          <w:rFonts w:ascii="Times New Roman" w:hAnsi="Times New Roman" w:cs="Times New Roman" w:eastAsia="黑体"/>
          <w:b w:val="0"/>
          <w:sz w:val="30"/>
        </w:rPr>
        <w:t>Vanguard招聘数字资产主管加密策略悄然转向</w:t>
      </w:r>
    </w:p>
    <w:p>
      <w:pPr>
        <w:spacing w:before="0" w:after="0" w:line="240" w:lineRule="auto"/>
        <w:ind w:left="0" w:right="0" w:firstLine="0"/>
        <w:jc w:val="both"/>
      </w:pPr>
      <w:r>
        <w:rPr>
          <w:rFonts w:ascii="Times New Roman" w:hAnsi="Times New Roman" w:cs="Times New Roman" w:eastAsia="仿宋"/>
          <w:b w:val="0"/>
          <w:sz w:val="28"/>
        </w:rPr>
        <w:t>· Vanguard已开始招聘数字资产主管，该职位将负责制定加密货币和区块链技术战略。</w:t>
      </w:r>
    </w:p>
    <w:p>
      <w:pPr>
        <w:spacing w:before="0" w:after="0" w:line="240" w:lineRule="auto"/>
        <w:ind w:left="0" w:right="0" w:firstLine="0"/>
        <w:jc w:val="both"/>
      </w:pPr>
      <w:r>
        <w:rPr>
          <w:rFonts w:ascii="Times New Roman" w:hAnsi="Times New Roman" w:cs="Times New Roman" w:eastAsia="仿宋"/>
          <w:b w:val="0"/>
          <w:sz w:val="28"/>
        </w:rPr>
        <w:t>· 该主管将评估代币化、稳定币、托管等领域，并决定是否自建、合作或暂缓进入。</w:t>
      </w:r>
    </w:p>
    <w:p>
      <w:pPr>
        <w:spacing w:before="0" w:after="0" w:line="240" w:lineRule="auto"/>
        <w:ind w:left="0" w:right="0" w:firstLine="0"/>
        <w:jc w:val="both"/>
      </w:pPr>
      <w:r>
        <w:rPr>
          <w:rFonts w:ascii="Times New Roman" w:hAnsi="Times New Roman" w:cs="Times New Roman" w:eastAsia="仿宋"/>
          <w:b w:val="0"/>
          <w:sz w:val="28"/>
        </w:rPr>
        <w:t>· 此举是Vanguard在长期抵制后对数字资产立场逐步转变的又一迹象。</w:t>
      </w:r>
    </w:p>
    <w:p>
      <w:pPr>
        <w:pStyle w:val="正文内容"/>
        <w:spacing w:before="0" w:after="0" w:line="240" w:lineRule="auto"/>
        <w:ind w:left="0" w:right="0" w:firstLine="560"/>
        <w:jc w:val="both"/>
      </w:pPr>
      <w:r>
        <w:rPr>
          <w:rFonts w:ascii="Times New Roman" w:hAnsi="Times New Roman" w:cs="Times New Roman" w:eastAsia="仿宋"/>
          <w:b w:val="0"/>
          <w:sz w:val="28"/>
        </w:rPr>
        <w:t>Vanguard已开始招聘数字资产主管，创建一个高级职位，负责监督该公司的加密货币和区块链金融技术战略。该职位隶属于Vanguard Personal Wealth，要求候选人制定数字资产愿景，识别商业机会，并领导产品、技术、运营、法律和合规团队的执行。</w:t>
      </w:r>
    </w:p>
    <w:p>
      <w:pPr>
        <w:pStyle w:val="正文内容"/>
        <w:spacing w:before="0" w:after="0" w:line="240" w:lineRule="auto"/>
        <w:ind w:left="0" w:right="0" w:firstLine="560"/>
        <w:jc w:val="both"/>
      </w:pPr>
      <w:r>
        <w:rPr>
          <w:rFonts w:ascii="Times New Roman" w:hAnsi="Times New Roman" w:cs="Times New Roman" w:eastAsia="仿宋"/>
          <w:b w:val="0"/>
          <w:sz w:val="28"/>
        </w:rPr>
        <w:t>候选人还将就数字资产市场变化向高级管理层提供建议，代表Vanguard与监管机构和行业团体进行讨论，并帮助塑造该公司的长期策略。职位描述还强调，候选人需要评估生态系统的其他领域，包括代币化、稳定币、数字钱包、托管以及基于区块链的结算和运营模式。</w:t>
      </w:r>
    </w:p>
    <w:p>
      <w:pPr>
        <w:pStyle w:val="正文内容"/>
        <w:spacing w:before="0" w:after="0" w:line="240" w:lineRule="auto"/>
        <w:ind w:left="0" w:right="0" w:firstLine="560"/>
        <w:jc w:val="both"/>
      </w:pPr>
      <w:r>
        <w:rPr>
          <w:rFonts w:ascii="Times New Roman" w:hAnsi="Times New Roman" w:cs="Times New Roman" w:eastAsia="仿宋"/>
          <w:b w:val="0"/>
          <w:sz w:val="28"/>
        </w:rPr>
        <w:t>Vanguard管理约10万亿美元资产，曾是加密货币领域最大的机构怀疑者之一，而BlackRock、Fidelity和Franklin Templeton等同行已推出现货比特币ETF和其他区块链计划。这一立场在去年12月开始软化，当时Vanguard开始允许经纪客户交易加密货币ETF和共同基金。</w:t>
      </w:r>
    </w:p>
    <w:p>
      <w:pPr>
        <w:pStyle w:val="正文内容"/>
        <w:spacing w:before="0" w:after="0" w:line="240" w:lineRule="auto"/>
        <w:ind w:left="0" w:right="0" w:firstLine="560"/>
        <w:jc w:val="both"/>
      </w:pPr>
      <w:r>
        <w:rPr>
          <w:rFonts w:ascii="Times New Roman" w:hAnsi="Times New Roman" w:cs="Times New Roman" w:eastAsia="仿宋"/>
          <w:b w:val="0"/>
          <w:sz w:val="28"/>
        </w:rPr>
        <w:t>Vanguard此前表示没有计划推出自己的加密投资产品，认为数字资产与其长期投资理念不符。这一立场可能得到了首席执行官Salim Ramji的强化，他于2024年7月从BlackRock加入Vanguard，此前在BlackRock领导iShares业务，后者推出了最大的现货比特币ETF之一iShares Bitcoin ETF（IBIT）。</w:t>
      </w:r>
    </w:p>
    <w:p>
      <w:pPr>
        <w:pStyle w:val="正文内容"/>
        <w:spacing w:before="0" w:after="0" w:line="240" w:lineRule="auto"/>
        <w:ind w:left="0" w:right="0" w:firstLine="560"/>
        <w:jc w:val="both"/>
      </w:pPr>
      <w:r>
        <w:rPr>
          <w:rFonts w:ascii="Times New Roman" w:hAnsi="Times New Roman" w:cs="Times New Roman" w:eastAsia="仿宋"/>
          <w:b w:val="0"/>
          <w:sz w:val="28"/>
        </w:rPr>
        <w:t>在担任CEO之前接受Barron's采访时，Ramji表示Vanguard不推出自己的比特币ETF的决定“完全符合”该公司的投资理念，并补充说公司保持产品和服务的一致性很重要。</w:t>
      </w:r>
    </w:p>
    <w:p>
      <w:pPr>
        <w:pStyle w:val="正文内容"/>
        <w:spacing w:before="0" w:after="0" w:line="240" w:lineRule="auto"/>
        <w:ind w:left="0" w:right="0" w:firstLine="560"/>
        <w:jc w:val="both"/>
      </w:pPr>
      <w:r>
        <w:rPr>
          <w:rFonts w:ascii="Times New Roman" w:hAnsi="Times New Roman" w:cs="Times New Roman" w:eastAsia="仿宋"/>
          <w:b w:val="0"/>
          <w:sz w:val="28"/>
        </w:rPr>
        <w:t>虽然新的招聘启事并不预示着即将推出产品，但它拓宽了Vanguard的焦点，超出了仅仅提供第三方基金准入的范围。该高管将负责制定多年路线图，设计治理和风险框架，并评估数字资产如何融入Vanguard更广泛的财富管理业务。</w:t>
      </w:r>
    </w:p>
    <w:p>
      <w:pPr>
        <w:pStyle w:val="正文内容"/>
        <w:spacing w:before="0" w:after="0" w:line="240" w:lineRule="auto"/>
        <w:ind w:left="0" w:right="0" w:firstLine="560"/>
        <w:jc w:val="both"/>
      </w:pPr>
      <w:r>
        <w:rPr>
          <w:rFonts w:ascii="Times New Roman" w:hAnsi="Times New Roman" w:cs="Times New Roman" w:eastAsia="仿宋"/>
          <w:b w:val="0"/>
          <w:sz w:val="28"/>
        </w:rPr>
        <w:t>此次招聘是Vanguard在长期抵制数字资产后逐步转变的又一迹象。该职位将评估Vanguard是否应内部构建新能力、与第三方合作或暂缓进入某些市场领域。</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原文标题：Vanguard opens search for digital assets leader in sign of evolving crypto strategy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原文链接：https://www.coindesk.com/markets/2026/07/07/vanguard-opens-search-for-digital-assets-leader-in-sign-of-evolving-crypto-strategy</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Strike推出“波动性防护”比特币贷款免除清算但成本高昂</w:t>
      </w:r>
    </w:p>
    <w:p>
      <w:pPr>
        <w:spacing w:before="0" w:after="0" w:line="240" w:lineRule="auto"/>
        <w:ind w:left="0" w:right="0" w:firstLine="0"/>
        <w:jc w:val="both"/>
      </w:pPr>
      <w:r>
        <w:rPr>
          <w:rFonts w:ascii="Times New Roman" w:hAnsi="Times New Roman" w:cs="Times New Roman" w:eastAsia="仿宋"/>
          <w:b w:val="0"/>
          <w:sz w:val="28"/>
        </w:rPr>
        <w:t>· Strike推出“波动性防护”比特币贷款，消除追加保证金和强制清算，但利率高达14.2%，且要求按时还款。</w:t>
      </w:r>
    </w:p>
    <w:p>
      <w:pPr>
        <w:spacing w:before="0" w:after="0" w:line="240" w:lineRule="auto"/>
        <w:ind w:left="0" w:right="0" w:firstLine="0"/>
        <w:jc w:val="both"/>
      </w:pPr>
      <w:r>
        <w:rPr>
          <w:rFonts w:ascii="Times New Roman" w:hAnsi="Times New Roman" w:cs="Times New Roman" w:eastAsia="仿宋"/>
          <w:b w:val="0"/>
          <w:sz w:val="28"/>
        </w:rPr>
        <w:t>· CEO Jack Mallers称此举回应客户反馈，此前贷款产品在比特币下跌54%时触发大量清算。</w:t>
      </w:r>
    </w:p>
    <w:p>
      <w:pPr>
        <w:spacing w:before="0" w:after="0" w:line="240" w:lineRule="auto"/>
        <w:ind w:left="0" w:right="0" w:firstLine="0"/>
        <w:jc w:val="both"/>
      </w:pPr>
      <w:r>
        <w:rPr>
          <w:rFonts w:ascii="Times New Roman" w:hAnsi="Times New Roman" w:cs="Times New Roman" w:eastAsia="仿宋"/>
          <w:b w:val="0"/>
          <w:sz w:val="28"/>
        </w:rPr>
        <w:t>· 比特币投资者Fred Krueger认为该产品消除了比特币的结构性问题——市场崩盘时强制抛售。</w:t>
      </w:r>
    </w:p>
    <w:p>
      <w:pPr>
        <w:pStyle w:val="正文内容"/>
        <w:spacing w:before="0" w:after="0" w:line="240" w:lineRule="auto"/>
        <w:ind w:left="0" w:right="0" w:firstLine="560"/>
        <w:jc w:val="both"/>
      </w:pPr>
      <w:r>
        <w:rPr>
          <w:rFonts w:ascii="Times New Roman" w:hAnsi="Times New Roman" w:cs="Times New Roman" w:eastAsia="仿宋"/>
          <w:b w:val="0"/>
          <w:sz w:val="28"/>
        </w:rPr>
        <w:t>比特币金融服务平台Strike于7月8日推出了“波动性防护”（volatility-proof）比特币贷款产品，旨在消除追加保证金和强制清算风险。Strike首席执行官Jack Mallers表示，该产品的代价是较高的利率——年利率最高可达14.2%，以及更短的六个月贷款期限和按时还款的义务。Mallers称：“没有追加保证金，没有强制清算。无论比特币跌多少，你的比特币都不会动。”</w:t>
      </w:r>
    </w:p>
    <w:p>
      <w:pPr>
        <w:pStyle w:val="正文内容"/>
        <w:spacing w:before="0" w:after="0" w:line="240" w:lineRule="auto"/>
        <w:ind w:left="0" w:right="0" w:firstLine="560"/>
        <w:jc w:val="both"/>
      </w:pPr>
      <w:r>
        <w:rPr>
          <w:rFonts w:ascii="Times New Roman" w:hAnsi="Times New Roman" w:cs="Times New Roman" w:eastAsia="仿宋"/>
          <w:b w:val="0"/>
          <w:sz w:val="28"/>
        </w:rPr>
        <w:t>Mallers指出，该产品是基于客户对Strike首个比特币贷款产品的广泛反馈而推出的。Strike的首个贷款产品于2025年5月上线，在比特币（Bitcoin，BTC）从峰值下跌54%的期间触发了大量清算。新贷款产品旨在解决这一问题，但客户需要接受更高的利率。</w:t>
      </w:r>
    </w:p>
    <w:p>
      <w:pPr>
        <w:pStyle w:val="正文内容"/>
        <w:spacing w:before="0" w:after="0" w:line="240" w:lineRule="auto"/>
        <w:ind w:left="0" w:right="0" w:firstLine="560"/>
        <w:jc w:val="both"/>
      </w:pPr>
      <w:r>
        <w:rPr>
          <w:rFonts w:ascii="Times New Roman" w:hAnsi="Times New Roman" w:cs="Times New Roman" w:eastAsia="仿宋"/>
          <w:b w:val="0"/>
          <w:sz w:val="28"/>
        </w:rPr>
        <w:t>比特币行业多年来一直致力于构建扩大比特币使用场景的金融产品。加密借贷平台Ledn在6月的一份报告显示，虽然88%的受访加密投资者表示会考虑加密贷款，但实际使用率仅为14%。Ledn认为，对加密贷款产品的信心和市场波动性是导致这一“加密抵押品缺口”的主要原因。Mallers也提到，波动性一直是最大的障碍之一：过去12年中，比特币有10年下跌超过30%，自2014年以来还有四次跌幅超过50%。</w:t>
      </w:r>
    </w:p>
    <w:p>
      <w:pPr>
        <w:pStyle w:val="正文内容"/>
        <w:spacing w:before="0" w:after="0" w:line="240" w:lineRule="auto"/>
        <w:ind w:left="0" w:right="0" w:firstLine="560"/>
        <w:jc w:val="both"/>
      </w:pPr>
      <w:r>
        <w:rPr>
          <w:rFonts w:ascii="Times New Roman" w:hAnsi="Times New Roman" w:cs="Times New Roman" w:eastAsia="仿宋"/>
          <w:b w:val="0"/>
          <w:sz w:val="28"/>
        </w:rPr>
        <w:t>Strike的“波动性防护”贷款的最高初始贷款价值比为45%，即客户以10万美元比特币作为抵押品，最多可借入4.5万美元。年利率比Strike的标准贷款产品高出2.95个百分点。Strike标准比特币贷款的年利率在7.75%至11.25%之间，因此“波动性防护”产品的利率在10.7%至14.2%之间。Mallers解释说：“秘诀在于，我们将收取的额外费用用于市场上的额外对冲，以保护我们所有人。”</w:t>
      </w:r>
    </w:p>
    <w:p>
      <w:pPr>
        <w:pStyle w:val="正文内容"/>
        <w:spacing w:before="0" w:after="0" w:line="240" w:lineRule="auto"/>
        <w:ind w:left="0" w:right="0" w:firstLine="560"/>
        <w:jc w:val="both"/>
      </w:pPr>
      <w:r>
        <w:rPr>
          <w:rFonts w:ascii="Times New Roman" w:hAnsi="Times New Roman" w:cs="Times New Roman" w:eastAsia="仿宋"/>
          <w:b w:val="0"/>
          <w:sz w:val="28"/>
        </w:rPr>
        <w:t>比特币投资者Fred Krueger评论称，该贷款产品“可能消除了比特币最大的结构性问题之一：市场崩盘时的强制抛售”。“波动性不再导致自动清算，违约将更多地由借款人无法偿还债务驱动，而不是由临时价格波动驱动。”Vibes Capital Management执行主席Rob Topping也补充说，这对需要短期流动性且不希望面临清算风险的客户来说是不错的产品，但他也承认14%的年利率较高。</w:t>
      </w:r>
    </w:p>
    <w:p>
      <w:pPr>
        <w:pStyle w:val="正文内容"/>
        <w:spacing w:before="0" w:after="0" w:line="240" w:lineRule="auto"/>
        <w:ind w:left="0" w:right="0" w:firstLine="560"/>
        <w:jc w:val="both"/>
      </w:pPr>
      <w:r>
        <w:rPr>
          <w:rFonts w:ascii="Times New Roman" w:hAnsi="Times New Roman" w:cs="Times New Roman" w:eastAsia="仿宋"/>
          <w:b w:val="0"/>
          <w:sz w:val="28"/>
        </w:rPr>
        <w:t>关于违约处理，Mallers表示，如果客户错过还款，他们有10天时间支付或联系Strike说明财务状况。若10天后仍未付款，Strike可能开始清算客户的比特币以覆盖逾期金额。Mallers警告：“如果我们几周都没有收到你的消息，那么我可能别无选择，只能出售部分比特币，因为你看起来像是在‘打了就跑’。”他补充道：“所以我们称之为‘波动性防护’，而不是‘清算防护’。”</w:t>
      </w:r>
    </w:p>
    <w:p>
      <w:pPr>
        <w:pStyle w:val="正文内容"/>
        <w:spacing w:before="0" w:after="0" w:line="240" w:lineRule="auto"/>
        <w:ind w:left="0" w:right="0" w:firstLine="560"/>
        <w:jc w:val="both"/>
      </w:pPr>
      <w:r>
        <w:rPr>
          <w:rFonts w:ascii="Times New Roman" w:hAnsi="Times New Roman" w:cs="Times New Roman" w:eastAsia="仿宋"/>
          <w:b w:val="0"/>
          <w:sz w:val="28"/>
        </w:rPr>
        <w:t>目前，Strike的比特币贷款在美国大多数州提供，可以以个人或企业名义申请，用于新贷款、再融资或债务合并。最低贷款金额因州而异，个人贷款最低为1万美元，某些州的企业贷款最低为5000美元。其他提供比特币贷款的市场参与者包括Binance、Coinbase、Nexo和Xapo Bank。</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原文标题：Strike launches ‘volatility-proof’ Bitcoin loans amid bear market， but at a cost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原文链接：https://cointelegraph.com/news/strike-launches-volatility-proof-bitcoin-loans-amid-bear-market-but-at-what-cost</w:t>
      </w:r>
    </w:p>
    <w:p/>
    <w:p>
      <w:pPr>
        <w:pStyle w:val="文章一级标题"/>
        <w:spacing w:before="0" w:after="0" w:line="240" w:lineRule="auto"/>
        <w:ind w:left="0" w:right="0" w:firstLine="0"/>
        <w:jc w:val="center"/>
      </w:pPr>
      <w:r>
        <w:rPr>
          <w:rFonts w:ascii="Times New Roman" w:hAnsi="Times New Roman" w:cs="Times New Roman" w:eastAsia="黑体"/>
          <w:b w:val="0"/>
          <w:sz w:val="30"/>
        </w:rPr>
        <w:t>K33半数比特币供应亏损市场底部或近</w:t>
      </w:r>
    </w:p>
    <w:p>
      <w:pPr>
        <w:spacing w:before="0" w:after="0" w:line="240" w:lineRule="auto"/>
        <w:ind w:left="0" w:right="0" w:firstLine="0"/>
        <w:jc w:val="both"/>
      </w:pPr>
      <w:r>
        <w:rPr>
          <w:rFonts w:ascii="Times New Roman" w:hAnsi="Times New Roman" w:cs="Times New Roman" w:eastAsia="仿宋"/>
          <w:b w:val="0"/>
          <w:sz w:val="28"/>
        </w:rPr>
        <w:t>· K33表示，超过一半的比特币（BTC）流通供应处于亏损状态，历史表明市场底部通常会在几周内出现。</w:t>
      </w:r>
    </w:p>
    <w:p>
      <w:pPr>
        <w:spacing w:before="0" w:after="0" w:line="240" w:lineRule="auto"/>
        <w:ind w:left="0" w:right="0" w:firstLine="0"/>
        <w:jc w:val="both"/>
      </w:pPr>
      <w:r>
        <w:rPr>
          <w:rFonts w:ascii="Times New Roman" w:hAnsi="Times New Roman" w:cs="Times New Roman" w:eastAsia="仿宋"/>
          <w:b w:val="0"/>
          <w:sz w:val="28"/>
        </w:rPr>
        <w:t>· 历史上比特币在超过一半供应亏损后的不同天数内触底：2017年31天，2018年23天，2022年13天；2014年例外，为101天。</w:t>
      </w:r>
    </w:p>
    <w:p>
      <w:pPr>
        <w:spacing w:before="0" w:after="0" w:line="240" w:lineRule="auto"/>
        <w:ind w:left="0" w:right="0" w:firstLine="0"/>
        <w:jc w:val="both"/>
      </w:pPr>
      <w:r>
        <w:rPr>
          <w:rFonts w:ascii="Times New Roman" w:hAnsi="Times New Roman" w:cs="Times New Roman" w:eastAsia="仿宋"/>
          <w:b w:val="0"/>
          <w:sz w:val="28"/>
        </w:rPr>
        <w:t>· Block Scholes风险偏好指数也暗示底部临近，该指数7月3日跌至-1.27后反弹，此前类似情况后的100天中位回报率为12%。</w:t>
      </w:r>
    </w:p>
    <w:p>
      <w:pPr>
        <w:pStyle w:val="正文内容"/>
        <w:spacing w:before="0" w:after="0" w:line="240" w:lineRule="auto"/>
        <w:ind w:left="0" w:right="0" w:firstLine="560"/>
        <w:jc w:val="both"/>
      </w:pPr>
      <w:r>
        <w:rPr>
          <w:rFonts w:ascii="Times New Roman" w:hAnsi="Times New Roman" w:cs="Times New Roman" w:eastAsia="仿宋"/>
          <w:b w:val="0"/>
          <w:sz w:val="28"/>
        </w:rPr>
        <w:t>数字资产经纪公司K33表示，超过一半的比特币（Bitcoin，BTC）流通供应目前处于亏损状态，这暗示加密市场可能正接近周期底部。K33在周二发布的报告中称，历史上当超过一半的流通供应处于水下时，比特币往往处于熊市后期阶段，该指标是分析师评估抛售压力是否接近枯竭的指标之一。K33还指出，由于过去一年的牛市较此前周期温和，当前下行也可能不那么严重。</w:t>
      </w:r>
    </w:p>
    <w:p>
      <w:pPr>
        <w:pStyle w:val="正文内容"/>
        <w:spacing w:before="0" w:after="0" w:line="240" w:lineRule="auto"/>
        <w:ind w:left="0" w:right="0" w:firstLine="560"/>
        <w:jc w:val="both"/>
      </w:pPr>
      <w:r>
        <w:rPr>
          <w:rFonts w:ascii="Times New Roman" w:hAnsi="Times New Roman" w:cs="Times New Roman" w:eastAsia="仿宋"/>
          <w:b w:val="0"/>
          <w:sz w:val="28"/>
        </w:rPr>
        <w:t>K33表示，过往的熊市通常在超过半数比特币供应处于亏损后的几周内触底。在2017年熊市周期中，比特币在超过50%供应亏损后的31天触底。2018年11月，在同样信号出现23天后触底。2022年11月，则在大约13天后触底。</w:t>
      </w:r>
    </w:p>
    <w:p>
      <w:pPr>
        <w:pStyle w:val="正文内容"/>
        <w:spacing w:before="0" w:after="0" w:line="240" w:lineRule="auto"/>
        <w:ind w:left="0" w:right="0" w:firstLine="560"/>
        <w:jc w:val="both"/>
      </w:pPr>
      <w:r>
        <w:rPr>
          <w:rFonts w:ascii="Times New Roman" w:hAnsi="Times New Roman" w:cs="Times New Roman" w:eastAsia="仿宋"/>
          <w:b w:val="0"/>
          <w:sz w:val="28"/>
        </w:rPr>
        <w:t>2014年周期属于例外，比特币在信号出现101天后才触底，且是唯一一个在信号出现一年后比特币价格更低的周期，下跌了25%。不过，K33报告指出，大型卖家（如现货比特币ETF持有者）可能使本次周期表现与以往不同，因为他们对价格产生影响。</w:t>
      </w:r>
    </w:p>
    <w:p>
      <w:pPr>
        <w:pStyle w:val="正文内容"/>
        <w:spacing w:before="0" w:after="0" w:line="240" w:lineRule="auto"/>
        <w:ind w:left="0" w:right="0" w:firstLine="560"/>
        <w:jc w:val="both"/>
      </w:pPr>
      <w:r>
        <w:rPr>
          <w:rFonts w:ascii="Times New Roman" w:hAnsi="Times New Roman" w:cs="Times New Roman" w:eastAsia="仿宋"/>
          <w:b w:val="0"/>
          <w:sz w:val="28"/>
        </w:rPr>
        <w:t>现货比特币ETF在周一录得2.65亿美元流入，连续两日净流入，但根据Farside Investors数据，6月净流出45.1亿美元，创下月度最差纪录。其他指标也暗示底部临近，例如衡量数字资产看涨和看跌动量的Block Scholes风险偏好指数。</w:t>
      </w:r>
    </w:p>
    <w:p>
      <w:pPr>
        <w:pStyle w:val="正文内容"/>
        <w:spacing w:before="0" w:after="0" w:line="240" w:lineRule="auto"/>
        <w:ind w:left="0" w:right="0" w:firstLine="560"/>
        <w:jc w:val="both"/>
      </w:pPr>
      <w:r>
        <w:rPr>
          <w:rFonts w:ascii="Times New Roman" w:hAnsi="Times New Roman" w:cs="Times New Roman" w:eastAsia="仿宋"/>
          <w:b w:val="0"/>
          <w:sz w:val="28"/>
        </w:rPr>
        <w:t>比特币风险偏好于7月3日降至-1.27的低点，此后有所回升。Block Scholes数据显示，在之前识别的八个实例中，这种走势通常预示着随后100天的现货价格中位回报率为12%。Block Scholes发言人表示：“从历史上看，此类走势预示着现货价格将出现更强劲的看涨表现，并可能导致更多资金配置到加密等风险资产。”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nears cycle bottom as over half of supply is held at a loss， says K33</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原文链接：https://cointelegraph.com/news/half-bitcoins-supply-at-loss-cycle-bottom-k33</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2026-07-01 15:41 至 2026-07-08 15:41（北京时间，最近7天）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