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2024年机构加密对冲基金与风险投资报告</w:t>
      </w:r>
    </w:p>
    <w:p>
      <w:pPr>
        <w:spacing w:before="0" w:after="0" w:line="240" w:lineRule="auto"/>
        <w:ind w:left="0" w:right="0" w:firstLine="0"/>
        <w:jc w:val="both"/>
      </w:pPr>
      <w:r>
        <w:rPr>
          <w:rFonts w:ascii="Times New Roman" w:hAnsi="Times New Roman" w:cs="Times New Roman" w:eastAsia="仿宋"/>
          <w:b w:val="0"/>
          <w:sz w:val="28"/>
        </w:rPr>
        <w:t>· 约34%的加密专属对冲基金拥有3年以上业绩记录，56.2%的基金成立时间为1-3年。</w:t>
      </w:r>
    </w:p>
    <w:p>
      <w:pPr>
        <w:spacing w:before="0" w:after="0" w:line="240" w:lineRule="auto"/>
        <w:ind w:left="0" w:right="0" w:firstLine="0"/>
        <w:jc w:val="both"/>
      </w:pPr>
      <w:r>
        <w:rPr>
          <w:rFonts w:ascii="Times New Roman" w:hAnsi="Times New Roman" w:cs="Times New Roman" w:eastAsia="仿宋"/>
          <w:b w:val="0"/>
          <w:sz w:val="28"/>
        </w:rPr>
        <w:t>· 2023年全球加密/区块链风险投资公司通过58只基金筹集了57.5亿美元，低于2022年的377亿美元。</w:t>
      </w:r>
    </w:p>
    <w:p>
      <w:pPr>
        <w:spacing w:before="0" w:after="0" w:line="240" w:lineRule="auto"/>
        <w:ind w:left="0" w:right="0" w:firstLine="0"/>
        <w:jc w:val="both"/>
      </w:pPr>
      <w:r>
        <w:rPr>
          <w:rFonts w:ascii="Times New Roman" w:hAnsi="Times New Roman" w:cs="Times New Roman" w:eastAsia="仿宋"/>
          <w:b w:val="0"/>
          <w:sz w:val="28"/>
        </w:rPr>
        <w:t>· 2023年第四季度加密对冲基金资产管理规模跃升至约152亿美元，其中基本面策略持有114亿美元。</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本报告由银河（Galaxy）旗下的领先数字资产买方数据平台VisionTrack制作，撰写时间为2024年1月17日至19日。公开研究资料可访问www.galaxy.com/research，VisionTrack数据库位于visiontrack/galaxy.com，联系邮箱为visiontrack@galaxy.com。报告作者为VisionTrack数据主管Bailey York。报告目录涵盖关键要点、执行摘要、对冲基金（Hedge Funds）业绩、四分位数、资产管理规模（AUM）与资金流动、风险投资（Venture）募资与交易、链上基金以及结论与展望。</w:t>
      </w:r>
    </w:p>
    <w:p>
      <w:pPr>
        <w:pStyle w:val="正文内容"/>
        <w:spacing w:before="0" w:after="0" w:line="240" w:lineRule="auto"/>
        <w:ind w:left="0" w:right="0" w:firstLine="560"/>
        <w:jc w:val="both"/>
      </w:pPr>
      <w:r>
        <w:rPr>
          <w:rFonts w:ascii="Times New Roman" w:hAnsi="Times New Roman" w:cs="Times New Roman" w:eastAsia="仿宋"/>
          <w:b w:val="0"/>
          <w:sz w:val="28"/>
        </w:rPr>
        <w:t>关键要点显示，约34%的加密货币专属对冲基金拥有3年以上的业绩记录（track record）；56.2%的基金成立于1至3年之间，仅有不到7.2%的基金拥有4年以上的记录。2023年下半年，加密货币基本面和量化方向策略基金（crypto fundamental and quant directional funds）的前两个四分位数（quartiles）表现优于比特币。2023年第四季度，加密货币对冲基金AUM跃升至约152亿美元，其中基本面策略持有114亿美元，量化方向基金持有18亿美元，市场中性基金（Market Neutral Funds）持有19亿美元。所有加密货币对冲基金的中位数基金规模全年温和增长，主要归因于加密货币价格上涨，但2023年第四季度认购量有所增加。</w:t>
      </w:r>
    </w:p>
    <w:p>
      <w:pPr>
        <w:pStyle w:val="正文内容"/>
        <w:spacing w:before="0" w:after="0" w:line="240" w:lineRule="auto"/>
        <w:ind w:left="0" w:right="0" w:firstLine="560"/>
        <w:jc w:val="both"/>
      </w:pPr>
      <w:r>
        <w:rPr>
          <w:rFonts w:ascii="Times New Roman" w:hAnsi="Times New Roman" w:cs="Times New Roman" w:eastAsia="仿宋"/>
          <w:b w:val="0"/>
          <w:sz w:val="28"/>
        </w:rPr>
        <w:t>全球风险投资公司在加密货币/区块链领域，2023年共通过58只基金募资57.5亿美元，低于2022年通过262只基金募资377亿美元的纪录水平。从加密货币风投公司占全球风投募资的比例看，加密货币基金约占全球募资的3.53%，低于2022年12.62%的高点。加密货币原生企业（crypto-native firms）占2023年封闭基金的72%，传统投资者支持了该行业的募资。平均每年，加密货币原生企业关闭的基金占加密货币风投基金的81%。</w:t>
      </w:r>
    </w:p>
    <w:p>
      <w:pPr>
        <w:pStyle w:val="正文内容"/>
        <w:spacing w:before="0" w:after="0" w:line="240" w:lineRule="auto"/>
        <w:ind w:left="0" w:right="0" w:firstLine="560"/>
        <w:jc w:val="both"/>
      </w:pPr>
      <w:r>
        <w:rPr>
          <w:rFonts w:ascii="Times New Roman" w:hAnsi="Times New Roman" w:cs="Times New Roman" w:eastAsia="仿宋"/>
          <w:b w:val="0"/>
          <w:sz w:val="28"/>
        </w:rPr>
        <w:t>加密货币总市值在2022年底为8400亿美元流动代币价值，2023年增长至1.77万亿美元，实现一年健康攀升。截至2022年底，比特币在十大加密货币中市占率约为38.43%；2023年底升至约47.8%。其最高占比出现在12月6日，达51.5%（数据来源：CoinGecko）。比特币的主导地位始于2023年第二季度末，市场对美国比特币现货ETF（spot ETF）审批进程的情绪升温。贝莱德（BlackRock）于6月决定申请现货比特币ETF——其首次此类申请——重燃竞争，促使先前的发行人Invesco/Galaxy、ArkInvest、Fidelity、VanEck、WisdomTree、Bitwise等重新申请，推动市场兴趣激增。比特币在2023年3月重回年内高点。至仲夏，许多加密货币基金经理在上半年大部分时间忙于引入新服务提供商，特别是银行关系、数字资产托管、机构质押合作及中心化加密货币交易所。</w:t>
      </w:r>
    </w:p>
    <w:p>
      <w:pPr>
        <w:pStyle w:val="正文内容"/>
        <w:spacing w:before="0" w:after="0" w:line="240" w:lineRule="auto"/>
        <w:ind w:left="0" w:right="0" w:firstLine="560"/>
        <w:jc w:val="both"/>
      </w:pPr>
      <w:r>
        <w:rPr>
          <w:rFonts w:ascii="Times New Roman" w:hAnsi="Times New Roman" w:cs="Times New Roman" w:eastAsia="仿宋"/>
          <w:b w:val="0"/>
          <w:sz w:val="28"/>
        </w:rPr>
        <w:t>鉴于2022年的崩盘事件仍令许多基金经理记忆犹新，加强运营控制是去年各机构的优先事项。策略募资仍未恢复，许多公司面临市场成交量及波动性低于历史水平的局面。根据VisionTrack数据，我们估计在2022年5月至2023年12月期间，715只加密货币专属对冲基金中有250只关闭，约占市场的35%。那些未因2022年破产而损失全部基金价值的基金经理，面临不确定的宏观环境以及分配者风险偏好降低。尽管可能有多种理由帮助机构“摆脱零仓位”，但主动策略的传达效果不佳，顶级对冲基金遭遇赎回。对于在2022年低迷期和2023年初赎回中幸存下来的基金，我们的数据显示34.01%的加密货币专属对冲基金拥有3年以上业绩记录，56.2%拥有1至3年记录，仅不足7.2%拥有4年以上记录。</w:t>
      </w:r>
    </w:p>
    <w:p>
      <w:pPr>
        <w:pStyle w:val="正文内容"/>
        <w:spacing w:before="0" w:after="0" w:line="240" w:lineRule="auto"/>
        <w:ind w:left="0" w:right="0" w:firstLine="560"/>
        <w:jc w:val="both"/>
      </w:pPr>
      <w:r>
        <w:rPr>
          <w:rFonts w:ascii="Times New Roman" w:hAnsi="Times New Roman" w:cs="Times New Roman" w:eastAsia="仿宋"/>
          <w:b w:val="0"/>
          <w:sz w:val="28"/>
        </w:rPr>
        <w:t>对于这个早年因基金增长而热情高涨的行业，截至2023年底，前20大对冲基金持有约71.6%的总对冲基金AUM（数据来源：VisionTrack）；2022年底这一比例约为75%。顶级基金经理的基金价值集中并不意外，因为许多有限合伙人（LPs）会长期投资加密货币对冲基金。尽管市场低迷艰难，且加密货币对冲基金通常有月度认购/赎回，但LP基础往往以多年投资理念对待。对于行业基金经理及其投资者，像2022年那样的低迷时刻确实动摇信心，有时甚至关乎存亡。不断管理批评和怀疑，所有积极新闻事件都被用来帮助反弹和复兴该资产类别。最黑暗的日子似乎从未远去，反弹的一年并不总是带来兴奋或狂热，而是验证和宽慰。年末最后几个月便是如此。尽管进入2024年批评和怀疑依然存在，但加密货币，尤其是比特币，在精神和业绩上十多年来已证明是法定货币（fiat currencies）的可靠替代品，保持其价值储存功能，并提供革命性的数字固定供应货币体系。2023年，这一叙事得以巩固，地缘政治不确定性和银行体系动荡进一步凸显比特币的独特价值主张。虽然无法确定预测2024年加密资产走向，但我们可以回顾过去为多种结果做准备。我们知道的是，全球货币政策存在深层次结构性问题，高利率环境和持续的通胀年率加剧了这些矛盾。对于公开市场，投资者带着巨大期待但担忧地进入2023年，期待软着陆或硬着陆。SPDR S&amp;P 500 ETF全年上涨16.79%，但表象之下，很大部分可能归因于“七巨头”（magnificent seven），标普500指数从未如此集中。半导体、实用人工智能的首次亮相、基础设施和国防振兴的呼声以及全球贸易政策变化全年推动市场。</w:t>
      </w:r>
    </w:p>
    <w:p>
      <w:pPr>
        <w:pStyle w:val="正文内容"/>
        <w:spacing w:before="0" w:after="0" w:line="240" w:lineRule="auto"/>
        <w:ind w:left="0" w:right="0" w:firstLine="560"/>
        <w:jc w:val="both"/>
      </w:pPr>
      <w:r>
        <w:rPr>
          <w:rFonts w:ascii="Times New Roman" w:hAnsi="Times New Roman" w:cs="Times New Roman" w:eastAsia="仿宋"/>
          <w:b w:val="0"/>
          <w:sz w:val="28"/>
        </w:rPr>
        <w:t>在同一时间范围内，VisionTrack基本面指数（VisionTrack Fundamental Index）下跌了24.71%，VisionTrack量化方向性指数（VisionTrack Quant Directional Index）下跌了10.45%，但VisionTrack市场中性指数（VisionTrack Market Neutral Index）上涨了1.60%。2023年下半年与2019年下半年相比对比特币而言是一个截然不同的故事。2023年，比特币在秋季和初冬上涨，从10月的出色表现开始。业内称为“Uptober”，比特币上涨了28.34%，主要源于ETF预期，加之比特币期权市场的伽马挤压轧空行情。10月，彭博社、路透社等媒体报道显示美国证券交易委员会（Securities and Exchange Commission，SEC）与ETF申请机构之间的讨论出现了真正的积极势头。尽管并非确定无疑且遭到怀疑，但10月彭博社分析师James Seyffart和Eric Balchunas预测美国比特币现货ETF在2024年1月前获得批准的概率为90%，进一步激发了行业热情。</w:t>
      </w:r>
    </w:p>
    <w:p>
      <w:pPr>
        <w:pStyle w:val="正文内容"/>
        <w:spacing w:before="0" w:after="0" w:line="240" w:lineRule="auto"/>
        <w:ind w:left="0" w:right="0" w:firstLine="560"/>
        <w:jc w:val="both"/>
      </w:pPr>
      <w:r>
        <w:rPr>
          <w:rFonts w:ascii="Times New Roman" w:hAnsi="Times New Roman" w:cs="Times New Roman" w:eastAsia="仿宋"/>
          <w:b w:val="0"/>
          <w:sz w:val="28"/>
        </w:rPr>
        <w:t>考虑到VisionTrack的流动加密对冲基金成分股（费用后以美元报告业绩），2023年只有约3.9%的管理人跑赢了比特币，而2019年这一比例为5.9%。正如一再指出的，最大的贝塔资产会在周期开始时表现优异，而资产配置者在2023年已做好准备。由于预期全年由比特币主导，美国资产管理公司减少了对加密对冲基金的配置。对冲基金难以募集资金，因为它们未能逐月跑赢比特币和BBG Galaxy Crypto Index（BCGI），这两个是许多基金的非官方基准。比特币在前三个季度的持续亮眼表现加剧了第四季度对所有主动策略新申购的竞争。为了应对充满挑战的募资环境，2023年下半年，一些主动管理基金策略开始提供比特币计价份额类别以吸引投资者。</w:t>
      </w:r>
    </w:p>
    <w:p>
      <w:pPr>
        <w:pStyle w:val="正文内容"/>
        <w:spacing w:before="0" w:after="0" w:line="240" w:lineRule="auto"/>
        <w:ind w:left="0" w:right="0" w:firstLine="560"/>
        <w:jc w:val="both"/>
      </w:pPr>
      <w:r>
        <w:rPr>
          <w:rFonts w:ascii="Times New Roman" w:hAnsi="Times New Roman" w:cs="Times New Roman" w:eastAsia="仿宋"/>
          <w:b w:val="0"/>
          <w:sz w:val="28"/>
        </w:rPr>
        <w:t>对冲基金VisionTrack加密对冲基金指数（数据来源：VisionTrack，Messari）显示，2021年第三季度和第四季度是一个潜在指标，因为加密价格在2024年1月继续攀升，且VisionTrack基本面指数即将完成最终定盘。VisionTrack量化指数中的量化方向性策略也迎来了自2021年第一季度以来表现最好的季度，平均上涨43.75%收官，大幅超越此前季度。若干公司在今年最后几个月看到基金申购增加，表明流动量化策略可能正在为2024年的更多募资做准备。第四季度的正超额收益，尤其是11月和12月，主要受替代加密货币以及美国比特币现货获批的兴奋情绪驱动。截至季度末，考虑市值约10亿美元或以上的加密资产，Solana上涨401.9%，Sei上涨377.1%，Injective上涨373.3%，Avalanche上涨321.1%，Near上涨227.1%，Celestia推出其流动代币并在仅两个月内上涨301%。量化方向性和市场中性策略因流动资产的交易量和波动性回归而处于有利地位，能够捕捉主流加密资产和替代加密货币的价格上涨。随着情绪持续改善，顶级叙事将比特币推至年度高点，市场新的叙事和兴奋情绪进一步推高价格，为众多经过考验的管理人展示了成功的交易机会。</w:t>
      </w:r>
    </w:p>
    <w:p>
      <w:pPr>
        <w:pStyle w:val="正文内容"/>
        <w:spacing w:before="0" w:after="0" w:line="240" w:lineRule="auto"/>
        <w:ind w:left="0" w:right="0" w:firstLine="560"/>
        <w:jc w:val="both"/>
      </w:pPr>
      <w:r>
        <w:rPr>
          <w:rFonts w:ascii="Times New Roman" w:hAnsi="Times New Roman" w:cs="Times New Roman" w:eastAsia="仿宋"/>
          <w:b w:val="0"/>
          <w:sz w:val="28"/>
        </w:rPr>
        <w:t>从历史上看，比特币计价份额类别主要用作资金管理和资产评估管理解决方案的方法。投资者基础通常针对比特币矿工、高净值个人（High Net Worth Individuals，HNWIs）、家族办公室（Family Offices）、加密公司以及管理现有加密资产敞口的基金会。主动管理团队通常以便利性和更熟悉的托管解决方案为理由，为许多渴望维持或扩大其比特币持仓的投资者提供定制基金。然而在第四季度，许多基金管理人将这些策略视为与单一资产比特币产品（尤其是备受期待的美国比特币现货ETF）竞争的手段，目标年化回报为比特币加10-15%。根据VisionTrack，以比特币计价，这类基金在2023年回报率为7.59%，对于该分类而言是一个令人兴奋的开端，尽管其同类规模较小。</w:t>
      </w:r>
    </w:p>
    <w:p>
      <w:pPr>
        <w:pStyle w:val="正文内容"/>
        <w:spacing w:before="0" w:after="0" w:line="240" w:lineRule="auto"/>
        <w:ind w:left="0" w:right="0" w:firstLine="560"/>
        <w:jc w:val="both"/>
      </w:pPr>
      <w:r>
        <w:rPr>
          <w:rFonts w:ascii="Times New Roman" w:hAnsi="Times New Roman" w:cs="Times New Roman" w:eastAsia="仿宋"/>
          <w:b w:val="0"/>
          <w:sz w:val="28"/>
        </w:rPr>
        <w:t>考虑符合VisionTrack指数纳入要求的加密基金策略，2023年第四季度，VisionTrack基本面指数录得自2021年第一季度（+186.15%）以来最佳季度表现，上涨57.85%，略低于比特币2023年第四季度（+58.12%，包含早期报告估计）。值得注意的是，该基本面指数连续三个月实现两位数涨幅，这是自2021年第一季度以来的首次，且自2018年1月以来仅发生过两次。尽管季度表现几乎超越了比特币的涨势，但该基本面指数仅有一次连续两个季度实现正向超额收益（即跑赢比特币）。表：年度回报率、精选ETF与VisionTrack指数。来源：VisionTrack。</w:t>
      </w:r>
    </w:p>
    <w:p>
      <w:pPr>
        <w:pStyle w:val="正文内容"/>
        <w:spacing w:before="0" w:after="0" w:line="240" w:lineRule="auto"/>
        <w:ind w:left="0" w:right="0" w:firstLine="560"/>
        <w:jc w:val="both"/>
      </w:pPr>
      <w:r>
        <w:rPr>
          <w:rFonts w:ascii="Times New Roman" w:hAnsi="Times New Roman" w:cs="Times New Roman" w:eastAsia="仿宋"/>
          <w:b w:val="0"/>
          <w:sz w:val="28"/>
        </w:rPr>
        <w:t>包括早期估计，2023年加密基本面策略截至12月平均回报85.70%。量化方向性基金平均回报71.55%，市场中性基金平均回报14.54%。对于表现位于前两个四分位的基金，对冲基金基本面策略和量化策略在全年表现上接近。但考虑下半年，量化策略在前四分位中表现出强劲的超额收益。尽管许多基金在一年中的大部分时间追逐比特币，但基本面类和量化方向类的前两个四分位在2023年下半年均跑赢了比特币（+38.75%）。表格“VisionTrack四分位表现（2023年1月至12月）”和“VisionTrack四分位表现（2023年7月至12月）”的数据分析截至2024年1月17日。VisionTrack不提供加密对冲基金成分股的详细业绩排名。</w:t>
      </w:r>
    </w:p>
    <w:p>
      <w:pPr>
        <w:pStyle w:val="正文内容"/>
        <w:spacing w:before="0" w:after="0" w:line="240" w:lineRule="auto"/>
        <w:ind w:left="0" w:right="0" w:firstLine="560"/>
        <w:jc w:val="both"/>
      </w:pPr>
      <w:r>
        <w:rPr>
          <w:rFonts w:ascii="Times New Roman" w:hAnsi="Times New Roman" w:cs="Times New Roman" w:eastAsia="仿宋"/>
          <w:b w:val="0"/>
          <w:sz w:val="28"/>
        </w:rPr>
        <w:t>以下是表现四分位数，可为管理人和资产配置者提供相对于VisionTrack基金分类的风险与回报特征参考。下述分类描述了四种细分类型，复制了VisionTrack指数所使用的底层方法论：综合型（Composite）、基本面型（Fundamental）、量化方向型（Quant Directional）和市场中性型（Market Neutral）。对成分基金集合进行了调整，以尽可能纳入历史基金表现，包括选定的单独管理账户（SMA）。要纳入四分位数分析，基金必须报告扣除费用后的业绩，并在给定时间范围内提供完整的月度表现详情。月度表现数据不完整的加密货币基金策略被排除在分析之外。VisionTrack加密货币对冲基金表现四分位数表来源：VisionTrack。</w:t>
      </w:r>
    </w:p>
    <w:p>
      <w:pPr>
        <w:pStyle w:val="正文内容"/>
        <w:spacing w:before="0" w:after="0" w:line="240" w:lineRule="auto"/>
        <w:ind w:left="0" w:right="0" w:firstLine="560"/>
        <w:jc w:val="both"/>
      </w:pPr>
      <w:r>
        <w:rPr>
          <w:rFonts w:ascii="Times New Roman" w:hAnsi="Times New Roman" w:cs="Times New Roman" w:eastAsia="仿宋"/>
          <w:b w:val="0"/>
          <w:sz w:val="28"/>
        </w:rPr>
        <w:t>基金资产管理规模（AUM）规模按策略类型划分：2022年Q1至2023年Q4的平均AUM规模（百万美元）：HF基本面型从487.88降至159.17；HF市场中性型从82.40降至67.90；HF量化方向型从44.44升至67.19。中位数AUM规模（百万美元）：HF基本面型从79.19降至34.05；HF市场中性型从50.15降至40.00；HF量化方向型从14.00升至17.00。数据来源：VisionTrack，截至2024年1月17日。机构流动性基金价值中，被动/Beta产品占比最高，自VisionTrack于2021年11月开始追踪AUM以来达到最高份额。在636.7亿美元中，约328亿美元存放在灰度比特币信托（Grayscale's BTC Trust）和灰度以太坊信托（Grayscale's ETH Trust）。截至12月底，前十大被动/Beta产品合计持有377亿美元总AUM。</w:t>
      </w:r>
    </w:p>
    <w:p>
      <w:pPr>
        <w:pStyle w:val="正文内容"/>
        <w:spacing w:before="0" w:after="0" w:line="240" w:lineRule="auto"/>
        <w:ind w:left="0" w:right="0" w:firstLine="560"/>
        <w:jc w:val="both"/>
      </w:pPr>
      <w:r>
        <w:rPr>
          <w:rFonts w:ascii="Times New Roman" w:hAnsi="Times New Roman" w:cs="Times New Roman" w:eastAsia="仿宋"/>
          <w:b w:val="0"/>
          <w:sz w:val="28"/>
        </w:rPr>
        <w:t>对于基本面型基金，中位数基金规模全年温和增长至3405万美元，为年内最高值，但与2021年初相比仍然较小。量化方向型基金在年底录得可观增长，中位数基金规模达到4000万美元。市场中性型基金在年底实现了有记录以来的最高中位数基金规模1700万美元，是该类别的一个显著成就。尽管2023年第四季度专门的加密流动性对冲基金AUM增速加快，但前20大流动性对冲基金仍占据对冲基金总AUM的约71.6%。2022年底这一数字为75%，这是一个略微积极的信号，表明净新基金正在推动加密货币对冲基金市场增长。然而，对于面临2022年困境和上一轮周期新对冲基金浪潮的顶级加密货币基金管理人而言，流动性策略的募资面临诸多挑战。</w:t>
      </w:r>
    </w:p>
    <w:p>
      <w:pPr>
        <w:pStyle w:val="正文内容"/>
        <w:spacing w:before="0" w:after="0" w:line="240" w:lineRule="auto"/>
        <w:ind w:left="0" w:right="0" w:firstLine="560"/>
        <w:jc w:val="both"/>
      </w:pPr>
      <w:r>
        <w:rPr>
          <w:rFonts w:ascii="Times New Roman" w:hAnsi="Times New Roman" w:cs="Times New Roman" w:eastAsia="仿宋"/>
          <w:b w:val="0"/>
          <w:sz w:val="28"/>
        </w:rPr>
        <w:t>资金流与AUM：尽管2023年前三个季度基金管理人难以超越被动/Beta产品，但同比来看，位于上两个四分位数的基金管理人在2023年底确实实现了AUM增长。虽然VisionTrack目前不收集申购/赎回细节，但我们按基金策略收集月度AUM数据。如果按策略计算的AUM增长超过报告的总表现，则可以假设管理人看到了申购的增加。VisionTrack收集的数据显示，从2023年2月至2023年9月，许多基金管理人的加密货币对冲基金规模基本持平。然而，从9月到12月，加密货币对冲基金的总AUM从107.5亿美元增长至152.2亿美元，增幅为+41.62%。同期，基本面型策略增幅最大，总AUM从78.2亿美元跃升至114.6亿美元。量化方向型策略年底AUM约为18.1亿美元，市场中性型基金增长至19.7亿美元。</w:t>
      </w:r>
    </w:p>
    <w:p>
      <w:pPr>
        <w:pStyle w:val="正文内容"/>
        <w:spacing w:before="0" w:after="0" w:line="240" w:lineRule="auto"/>
        <w:ind w:left="0" w:right="0" w:firstLine="560"/>
        <w:jc w:val="both"/>
      </w:pPr>
      <w:r>
        <w:rPr>
          <w:rFonts w:ascii="Times New Roman" w:hAnsi="Times New Roman" w:cs="Times New Roman" w:eastAsia="仿宋"/>
          <w:b w:val="0"/>
          <w:sz w:val="28"/>
        </w:rPr>
        <w:t>包括单一资产工具和多资产指数产品在内的被动/Beta产品在加密货币基金市场中保持主导地位。从9月底到12月底，所有流动性基金策略的总AUM从417.3亿美元增长至636.7亿美元。年底时，被动/Beta产品占比约76%。按季度划分的加密货币对冲基金平均及中位数AUM图来源：VisionTrack。全球流动性加密货币策略月度AUM图来源：VisionTrack。全球流动性加密货币策略AUM份额图来源：VisionTrack。全球风险投资公司在加密货币/区块链领域的年度募资情况：2023年共58只基金筹得57.5亿美元，低于2022年创纪录的262只基金募资377亿美元。</w:t>
      </w:r>
    </w:p>
    <w:p>
      <w:pPr>
        <w:pStyle w:val="正文内容"/>
        <w:spacing w:before="0" w:after="0" w:line="240" w:lineRule="auto"/>
        <w:ind w:left="0" w:right="0" w:firstLine="560"/>
        <w:jc w:val="both"/>
      </w:pPr>
      <w:r>
        <w:rPr>
          <w:rFonts w:ascii="Times New Roman" w:hAnsi="Times New Roman" w:cs="Times New Roman" w:eastAsia="仿宋"/>
          <w:b w:val="0"/>
          <w:sz w:val="28"/>
        </w:rPr>
        <w:t>从全球风险投资格局来看，根据PitchBook数据，所有行业风险投资基金的总募资额从2022年的2986.5亿美元降至2023年的1627.3亿美元，降幅为-45.51%。比较加密货币风险投资公司在全球风险投资募资中的份额，加密货币基金约占全球募资额的3.53%，低于2022年12.62%的高点。风险投资募资也未达到2021年的份额（5.65%），但较此前所有年份有所改善。2017年至2023年全球募资总额及基金数量变化表：全球总额从1861.2亿美元降至1627.3亿美元，基金数量从2400降至1279。美国募资总额从468.0亿美元降至684.0亿美元，基金数量从630降至425。全球区块链/加密货币募资总额从5.7亿美元降至57.5亿美元，基金数量从25降至58。</w:t>
      </w:r>
    </w:p>
    <w:p>
      <w:pPr>
        <w:pStyle w:val="正文内容"/>
        <w:spacing w:before="0" w:after="0" w:line="240" w:lineRule="auto"/>
        <w:ind w:left="0" w:right="0" w:firstLine="560"/>
        <w:jc w:val="both"/>
      </w:pPr>
      <w:r>
        <w:rPr>
          <w:rFonts w:ascii="Times New Roman" w:hAnsi="Times New Roman" w:cs="Times New Roman" w:eastAsia="仿宋"/>
          <w:b w:val="0"/>
          <w:sz w:val="28"/>
        </w:rPr>
        <w:t>风险投资募资：风险投资策略通常在对加密货币需求达到顶峰时募资，此时估值较高且顶级加密货币表现良好。随着估值降温，机构配置和兴趣下降，加密货币风险投资策略的募资变得具有挑战性。自2022年第三季度以来，加密货币风险投资募资大体如此，因为被动/Beta产品在2023年占据了中心位置。按地域和行业划分的风险投资募资表：2017年至2023年区块链/加密货币基金募资额占全球比例从0.31%升至3.53%（2022年最高12.62%），基金数量占比从1.04%升至4.53%。占美国比例方面，募资额占比从1.23%升至8.40%，基金数量占比从3.97%升至13.65%。数据来源：PitchBook，VisionTrack，截至2023年12月31日。</w:t>
      </w:r>
    </w:p>
    <w:p>
      <w:pPr>
        <w:pStyle w:val="正文内容"/>
        <w:spacing w:before="0" w:after="0" w:line="240" w:lineRule="auto"/>
        <w:ind w:left="0" w:right="0" w:firstLine="560"/>
        <w:jc w:val="both"/>
      </w:pPr>
      <w:r>
        <w:rPr>
          <w:rFonts w:ascii="Times New Roman" w:hAnsi="Times New Roman" w:cs="Times New Roman" w:eastAsia="仿宋"/>
          <w:b w:val="0"/>
          <w:sz w:val="28"/>
        </w:rPr>
        <w:t>正如VisionTrack过去几个季度的多份研究报告所概述，加密货币领域的风险投资募资在2021年之前并非主要基金工具。尽管2023年募资数据惨淡，但该策略类型自2021年前的水平已取得进一步进展。由于市场在2023年大部分时间聚焦于被动/Beta单一资产和多资产指数产品，如果加密货币原生资产配置者打算在2024年晚些时候转向风险投资基金产品，加密货币风险投资可能会回归。风险投资基金对区块链/加密货币生态系统的发展至关重要，因为它们不仅通过私募市场估值的季度标记提供下行保护，而且还是新公司的主要资本来源。尽管历史上只经历过一次真正的低迷期，期间加密货币风险投资基金大规模募资，但我们预计较大的加密货币风险投资公司将在2024年带着新基金回归。</w:t>
      </w:r>
    </w:p>
    <w:p>
      <w:pPr>
        <w:pStyle w:val="正文内容"/>
        <w:spacing w:before="0" w:after="0" w:line="240" w:lineRule="auto"/>
        <w:ind w:left="0" w:right="0" w:firstLine="560"/>
        <w:jc w:val="both"/>
      </w:pPr>
      <w:r>
        <w:rPr>
          <w:rFonts w:ascii="Times New Roman" w:hAnsi="Times New Roman" w:cs="Times New Roman" w:eastAsia="仿宋"/>
          <w:b w:val="0"/>
          <w:sz w:val="28"/>
        </w:rPr>
        <w:t>2023年第四季度，7只基金共募资6.89亿美元，为2020年第三季度以来的最低水平。即使到了2023年第四季度，2022年第二季度的募资额（155.8亿美元）仍高于此后所有季度的总和。2022年几家主要风险投资支持的初创公司倒闭，包括一些最知名传统风险投资公司支持的企业，这仍然是抑制资产配置者投资该行业的因素之一。考虑为区块链/加密货币行业募资的风险投资公司的投资者构成时，2023年加密货币原生公司约占已关闭基金的72%，传统投资者则为该行业提供了募资支持。按年度平均，加密货币原生公司占专门用于加密货币风险投资的基金关闭数量的81%。传统投资者在2022年获得了最大份额，当时加密货币原生公司仅占71%。鉴于过去五年资产配置者的周期性轮换，对风险投资基金的预期是，加密货币原生公司和传统投资者将在2024年年中带着新基金重返市场。考虑到加密货币风险投资公司的资金跑道，这一募资周期对该行业至关重要。迄今为止，很少有基金专注于后期阶段交易，许多基金将注意力集中在早期阶段活动。对于自2022年以来至2023年已完成部署的基金而言，许多风险投资支持的企业将进入其公司生命周期的更后期阶段，表明后期轮次应即将到来。</w:t>
      </w:r>
    </w:p>
    <w:p>
      <w:pPr>
        <w:pStyle w:val="正文内容"/>
        <w:spacing w:before="0" w:after="0" w:line="240" w:lineRule="auto"/>
        <w:ind w:left="0" w:right="0" w:firstLine="560"/>
        <w:jc w:val="both"/>
      </w:pPr>
      <w:r>
        <w:rPr>
          <w:rFonts w:ascii="Times New Roman" w:hAnsi="Times New Roman" w:cs="Times New Roman" w:eastAsia="仿宋"/>
          <w:b w:val="0"/>
          <w:sz w:val="28"/>
        </w:rPr>
        <w:t>为了最好地促进被投资组合公司进入下一阶段，后期基金被募集以支持这些公司便不足为奇。对于加密货币风险投资基金来说，这将是所筹集的基金类型迈出的重要一步。从历史上看，由于区块链/加密货币市场不如传统风险投资市场成熟，受命设立的后期加密货币风险基金极少见。VisionTrack收集的数据发现，过去10年筹集的785只加密货币专项风险投资基金中，仅有90只命名为基金II、基金III或更高编号。这表明，近90%的加密货币专项风险投资基金是加密货币原生公司和传统投资者首次接触加密货币的基金。</w:t>
      </w:r>
    </w:p>
    <w:p>
      <w:pPr>
        <w:pStyle w:val="正文内容"/>
        <w:spacing w:before="0" w:after="0" w:line="240" w:lineRule="auto"/>
        <w:ind w:left="0" w:right="0" w:firstLine="560"/>
        <w:jc w:val="both"/>
      </w:pPr>
      <w:r>
        <w:rPr>
          <w:rFonts w:ascii="Times New Roman" w:hAnsi="Times New Roman" w:cs="Times New Roman" w:eastAsia="仿宋"/>
          <w:b w:val="0"/>
          <w:sz w:val="28"/>
        </w:rPr>
        <w:t>根据Galaxy Research收集的数据，2023年加密货币风投交易活动涉及1998笔交易，交易价值98亿美元。年度总额较3795笔交易的319亿美元有所下降。第四季度，风投交易活动持续低迷，359笔交易贡献了19.2亿美元的交易价值。考虑到早期报告的细节，2023年第四季度的交易数量自2020年第二季度的301笔以来最低，自2022年第一季度达到1331笔的峰值后，季度交易数量逐步放缓。随着该行业资本持续受限，基金部署能力接近上限，后期赢家占据了剩余基金价值。2023年第四季度，后期风投交易占交易数量的14.48%和交易价值的15.83%。从历史看，这是按阶段统计的季度后期交易最高占比。</w:t>
      </w:r>
    </w:p>
    <w:p>
      <w:pPr>
        <w:pStyle w:val="正文内容"/>
        <w:spacing w:before="0" w:after="0" w:line="240" w:lineRule="auto"/>
        <w:ind w:left="0" w:right="0" w:firstLine="560"/>
        <w:jc w:val="both"/>
      </w:pPr>
      <w:r>
        <w:rPr>
          <w:rFonts w:ascii="Times New Roman" w:hAnsi="Times New Roman" w:cs="Times New Roman" w:eastAsia="仿宋"/>
          <w:b w:val="0"/>
          <w:sz w:val="28"/>
        </w:rPr>
        <w:t>相比之下，2023年第四季度种子前阶段交易大幅下降，359笔总交易中仅有32笔。种子前阶段交易数量仅占8.91%，为2016年第一季度以来的最低水平。种子前阶段交易占2023年第四季度交易价值的15.43%，低于2016年第一季度以来19.14%的季度平均值。正如我们在2023年中期报告中所指出的，风投机构正利用后期交易估值，并支持宝贵的投资组合公司。这一趋势在年底并未改变，交易活动萎缩，所有交易阶段的估值均保持平稳。年度最大交易包括Wormhole（2.25亿美元）、Line Next（1.4亿美元）、Blockstream（1.25亿美元）、LayerZero（1.2亿美元）和Worldcoin（1.15亿美元），基本上都是后期交易。</w:t>
      </w:r>
    </w:p>
    <w:p>
      <w:pPr>
        <w:pStyle w:val="正文内容"/>
        <w:spacing w:before="0" w:after="0" w:line="240" w:lineRule="auto"/>
        <w:ind w:left="0" w:right="0" w:firstLine="560"/>
        <w:jc w:val="both"/>
      </w:pPr>
      <w:r>
        <w:rPr>
          <w:rFonts w:ascii="Times New Roman" w:hAnsi="Times New Roman" w:cs="Times New Roman" w:eastAsia="仿宋"/>
          <w:b w:val="0"/>
          <w:sz w:val="28"/>
        </w:rPr>
        <w:t>考虑到2023年的最大交易，仅有8笔交易价值超过1亿美元。2023年没有一笔交易进入过去十年加密货币风投交易前50名的创纪录交易价值。简而言之，风投交易活动远未达到历史水平。加密货币风投交易的中位数规模从第三季度的325万美元下降到第四季度的300万美元。对于所有交易，自2016年以来的历史中位数交易价值为140万美元。积极的一面是，过去12个季度均超过了这一中位数交易价值。自2016年以来，仅有三个季度的中位数交易规模超过300万美元，这表明尽管交易数量和价值下降，早期交易仍较为昂贵。</w:t>
      </w:r>
    </w:p>
    <w:p>
      <w:pPr>
        <w:pStyle w:val="正文内容"/>
        <w:spacing w:before="0" w:after="0" w:line="240" w:lineRule="auto"/>
        <w:ind w:left="0" w:right="0" w:firstLine="560"/>
        <w:jc w:val="both"/>
      </w:pPr>
      <w:r>
        <w:rPr>
          <w:rFonts w:ascii="Times New Roman" w:hAnsi="Times New Roman" w:cs="Times New Roman" w:eastAsia="仿宋"/>
          <w:b w:val="0"/>
          <w:sz w:val="28"/>
        </w:rPr>
        <w:t>换言之，加密货币风投投资者自2016年以来不仅提高了最低支票规模，而且每年部署策略的针对性也在增强。此外，几个季度以来首次，所有风投的中位数交易规模超过了加密货币风投，这表明加密货币公司的估值已有所下降。估值方面，中位数投前估值从第三季度的2113万美元下降到第四季度的1080万美元，主要归因于交易数量减少。中位数投后估值也从第三季度的2800万美元下降到第四季度的1400万美元。中位数投前和投后估值均大幅下降，加之缺乏融资机会，表明风投支持较少的公司估值更为保守，而头部投资组合公司则以低于历史估值的水平进行整合。</w:t>
      </w:r>
    </w:p>
    <w:p>
      <w:pPr>
        <w:pStyle w:val="正文内容"/>
        <w:spacing w:before="0" w:after="0" w:line="240" w:lineRule="auto"/>
        <w:ind w:left="0" w:right="0" w:firstLine="560"/>
        <w:jc w:val="both"/>
      </w:pPr>
      <w:r>
        <w:rPr>
          <w:rFonts w:ascii="Times New Roman" w:hAnsi="Times New Roman" w:cs="Times New Roman" w:eastAsia="仿宋"/>
          <w:b w:val="0"/>
          <w:sz w:val="28"/>
        </w:rPr>
        <w:t>这对现有投资组合公司而言并非降级，而是指后期阶段的新公司在历史上估值较低。对加密货币风投投资者而言，这是一个积极信号。对加密货币支持的风投公司来说，情况则略有不同。总体而言，考虑到2020年之前的市场，加密货币风投投资者和风投支持公司在交易规模和估值方面均取得了进展。尽管面临挑战，但季度交易数量仍保持或接近2016年以来的季度平均值，估值自2020年以来有所上升，这对不断增长的风投市场是一个积极信号。准确的全局风投交易数据对区块链/加密货币市场仍是一个挑战，尤其是因为其规模小于传统风投市场。</w:t>
      </w:r>
    </w:p>
    <w:p>
      <w:pPr>
        <w:pStyle w:val="正文内容"/>
        <w:spacing w:before="0" w:after="0" w:line="240" w:lineRule="auto"/>
        <w:ind w:left="0" w:right="0" w:firstLine="560"/>
        <w:jc w:val="both"/>
      </w:pPr>
      <w:r>
        <w:rPr>
          <w:rFonts w:ascii="Times New Roman" w:hAnsi="Times New Roman" w:cs="Times New Roman" w:eastAsia="仿宋"/>
          <w:b w:val="0"/>
          <w:sz w:val="28"/>
        </w:rPr>
        <w:t>例如，截至2023年底，对于已知投前和投后估值的交易，利用PitchBook Data和Galaxy的方法，加密货币共统计了1632笔交易。考虑到传统风投市场的所有风投交易，这一数字为34471。此外，有关交易分类、行业、代币化资产、归属时间表、交易价值、交易数量以及二级交易的信息，对加密货币风投投资者来说往往是不透明且任意的数据集。这最终导致估值差异和风投交易者（尤其是二级市场）的市场碎片化。当考虑致力于改善市场覆盖范围的风投交易数据集时，交易价值和数量的差异正是这一市场挑战的典型例子。</w:t>
      </w:r>
    </w:p>
    <w:p>
      <w:pPr>
        <w:pStyle w:val="正文内容"/>
        <w:spacing w:before="0" w:after="0" w:line="240" w:lineRule="auto"/>
        <w:ind w:left="0" w:right="0" w:firstLine="560"/>
        <w:jc w:val="both"/>
      </w:pPr>
      <w:r>
        <w:rPr>
          <w:rFonts w:ascii="Times New Roman" w:hAnsi="Times New Roman" w:cs="Times New Roman" w:eastAsia="仿宋"/>
          <w:b w:val="0"/>
          <w:sz w:val="28"/>
        </w:rPr>
        <w:t>Galaxy Research与PitchBook Data的方法论指出，2023年1998笔交易涉及98亿美元。DeFiLlama的年末总交易价值为62亿美元，涉及720笔交易。Crypto Valley的年度区块链风投报告指出98亿美元，涉及1031笔交易。The Block记录了107亿美元和1819笔交易。Messari记录了196亿美元，其中包含Stripe的65亿美元融资作为加密货币相关交易。除去Stripe，Messari的总交易价值为131亿美元，涉及1698笔交易。尽管少量风投交易数据集在交易价值和数量上具有相似性，但交易分类和分类法使得在资产层面评估风投市场变得困难。如果加密货币风投基金在2024年融资不顺，我们将要么看到类似过去六个季度的低迷交易活动，要么公司将寻求公开市场获取流动性（如果尚未倒闭）。若近期募集的风投基金（尤其是2022年期的）开始分配，将有助于融资周期，并对2024年底的交易活动和估值产生净利好。</w:t>
      </w:r>
    </w:p>
    <w:p>
      <w:pPr>
        <w:pStyle w:val="正文内容"/>
        <w:spacing w:before="0" w:after="0" w:line="240" w:lineRule="auto"/>
        <w:ind w:left="0" w:right="0" w:firstLine="560"/>
        <w:jc w:val="both"/>
      </w:pPr>
      <w:r>
        <w:rPr>
          <w:rFonts w:ascii="Times New Roman" w:hAnsi="Times New Roman" w:cs="Times New Roman" w:eastAsia="仿宋"/>
          <w:b w:val="0"/>
          <w:sz w:val="28"/>
        </w:rPr>
        <w:t>这两家投资巨头与基础设施提供商Oasis Pro和Provenance Blockchain合作开展Project Guardian，利用私有区块链管理代币化资产和基金产品。加密对冲基金和风投行业是否会朝着类似的运营方向发展，我们尚需拭目以待。诸如Metamask、Magic Eden和Audius等公司是否应被纳入风投交易活动？随着越来越多的金融科技和传统金融服务公司整合区块链/加密基础设施及Web3商业模式，应披露这些公司在报告数据中的排除情况。尽管Stripe可能并非加密原生公司且无加密原生背景，但其正在整合基础设施和技术以获取重要市场份额，这对风投支持的加密业务是一个重要考量。</w:t>
      </w:r>
    </w:p>
    <w:p>
      <w:pPr>
        <w:pStyle w:val="正文内容"/>
        <w:spacing w:before="0" w:after="0" w:line="240" w:lineRule="auto"/>
        <w:ind w:left="0" w:right="0" w:firstLine="560"/>
        <w:jc w:val="both"/>
      </w:pPr>
      <w:r>
        <w:rPr>
          <w:rFonts w:ascii="Times New Roman" w:hAnsi="Times New Roman" w:cs="Times New Roman" w:eastAsia="仿宋"/>
          <w:b w:val="0"/>
          <w:sz w:val="28"/>
        </w:rPr>
        <w:t>由于数据收集缺乏标准化，风投交易数据可能存在不准确之处。第三方数据公司、基金管理人和估值专家都在努力解决这一问题。然而，碎片化问题使人质疑加密风投基金的最终业绩。此外，优质信息的缺乏限制了投资者基础，抑制了更多加密风投资本交易的达成。关于链上基金的信息质量对于机构加密投资者而言，2023年无疑是重建之年，重点在于恢复市场信心和测试新产品。虽然并非新事物，但代币化基金产品和现实世界资产在低交易量和低波动期间持续吸引投资者兴趣。</w:t>
      </w:r>
    </w:p>
    <w:p>
      <w:pPr>
        <w:pStyle w:val="正文内容"/>
        <w:spacing w:before="0" w:after="0" w:line="240" w:lineRule="auto"/>
        <w:ind w:left="0" w:right="0" w:firstLine="560"/>
        <w:jc w:val="both"/>
      </w:pPr>
      <w:r>
        <w:rPr>
          <w:rFonts w:ascii="Times New Roman" w:hAnsi="Times New Roman" w:cs="Times New Roman" w:eastAsia="仿宋"/>
          <w:b w:val="0"/>
          <w:sz w:val="28"/>
        </w:rPr>
        <w:t>机构质押产品，以及代币化货币市场基金和短期代币化国债的流行，为投资者提供了便捷的运营产品以减轻稳定币风险。2023年3月的银行流动性危机促使投资者考虑稳定币以外的现金等价解决方案，吸引了活跃的主动型基金经理关注这些金融服务。加密货币对冲基金过去曾采用代币化投资策略，但该模式仍面临诸多挑战，且使用案例并不普遍。尽管许多公司尝试将此类产品推向市场，但预计未来几年会有更多另类投资工具上链。</w:t>
      </w:r>
    </w:p>
    <w:p>
      <w:pPr>
        <w:pStyle w:val="正文内容"/>
        <w:spacing w:before="0" w:after="0" w:line="240" w:lineRule="auto"/>
        <w:ind w:left="0" w:right="0" w:firstLine="560"/>
        <w:jc w:val="both"/>
      </w:pPr>
      <w:r>
        <w:rPr>
          <w:rFonts w:ascii="Times New Roman" w:hAnsi="Times New Roman" w:cs="Times New Roman" w:eastAsia="仿宋"/>
          <w:b w:val="0"/>
          <w:sz w:val="28"/>
        </w:rPr>
        <w:t>贝恩公司在2023年底的报告指出，另类投资的代币化对于机构加密的发展至关重要。主动管理策略是机构加密发展的关键。对冲基金和风投基金均为更广泛的加密应用场景的开发和采用提供了支持系统。尽管业绩重要，但这些投资工具为2022年充满困难的行业提供了流动性和机会。2023年的很大一部分可总结为许多加密对冲基金和风投公司面临的挑战时期，被动/贝塔产品主导市场。</w:t>
      </w:r>
    </w:p>
    <w:p>
      <w:pPr>
        <w:pStyle w:val="正文内容"/>
        <w:spacing w:before="0" w:after="0" w:line="240" w:lineRule="auto"/>
        <w:ind w:left="0" w:right="0" w:firstLine="560"/>
        <w:jc w:val="both"/>
      </w:pPr>
      <w:r>
        <w:rPr>
          <w:rFonts w:ascii="Times New Roman" w:hAnsi="Times New Roman" w:cs="Times New Roman" w:eastAsia="仿宋"/>
          <w:b w:val="0"/>
          <w:sz w:val="28"/>
        </w:rPr>
        <w:t>正如以往周期所见，专注于提供严谨机构级基金产品的管理者，通常得到加密原生有限合伙人的支持，将在市场反弹中生存并获得回报。从资产配置者的角度来看，与加密原生投资者相比，机构配置者通常难以通过合适的基金工具把握市场时机，因为即时市场力量将配置者置于“当前趋势”中。摆脱零配置很重要，并且通常是配置者的第一步。然而，这些基金策略的吸引力在市场低迷时期才变得更为明显。</w:t>
      </w:r>
    </w:p>
    <w:p>
      <w:pPr>
        <w:pStyle w:val="正文内容"/>
        <w:spacing w:before="0" w:after="0" w:line="240" w:lineRule="auto"/>
        <w:ind w:left="0" w:right="0" w:firstLine="560"/>
        <w:jc w:val="both"/>
      </w:pPr>
      <w:r>
        <w:rPr>
          <w:rFonts w:ascii="Times New Roman" w:hAnsi="Times New Roman" w:cs="Times New Roman" w:eastAsia="仿宋"/>
          <w:b w:val="0"/>
          <w:sz w:val="28"/>
        </w:rPr>
        <w:t>例如，刚刚过去的夏天是考虑中小盘基本面及量化方向性敞口的绝佳时机。如果单一资产现货产品在2024年初表现良好，那么看到兴趣和热情推动市场在年内晚些时候向市场中性基金和风投基金产品轮动就不足为奇了。结论与展望：如果您是数字资产基金经理，并希望将您的业绩结果贡献给VisionTrack以纳入我们的VisionTrack指数，请通过visiontrack@galaxy.com联系我们。有关我们更新后的方法以及可下载的月度数据，请访问我们的网站https://visiontrack.galaxy.com。</w:t>
      </w:r>
    </w:p>
    <w:p>
      <w:pPr>
        <w:pStyle w:val="正文内容"/>
        <w:spacing w:before="0" w:after="0" w:line="240" w:lineRule="auto"/>
        <w:ind w:left="0" w:right="0" w:firstLine="560"/>
        <w:jc w:val="both"/>
      </w:pPr>
      <w:r>
        <w:rPr>
          <w:rFonts w:ascii="Times New Roman" w:hAnsi="Times New Roman" w:cs="Times New Roman" w:eastAsia="仿宋"/>
          <w:b w:val="0"/>
          <w:sz w:val="28"/>
        </w:rPr>
        <w:t>联系我们：[1]BLOOMBERG是Bloomberg Finance L.P.的商标或服务标志。GALAXY是GDCM的商标。Bloomberg Finance L.P.及其关联方（统称Bloomberg）不与GDCM、基金及其各自关联方（统称Galaxy）关联。Bloomberg与Galaxy的关系是作为CFIX（“指数”）的管理人和计算代理，该指数为Bloomberg财产。Bloomberg和Galaxy均不保证与指数或要获得的结果相关的任何数据或信息的及时性、准确性或完整性。Bloomberg和Galaxy均不对指数、与之相关的任何数据或数值、或任何与之挂钩、使用其作为组成部分或基于指数的金融产品或工具（产品）或要获得的结果作任何明示或暗示的保证，并明确否认所有适销性和特定用途适用性的保证。</w:t>
      </w:r>
    </w:p>
    <w:p>
      <w:pPr>
        <w:pStyle w:val="正文内容"/>
        <w:spacing w:before="0" w:after="0" w:line="240" w:lineRule="auto"/>
        <w:ind w:left="0" w:right="0" w:firstLine="560"/>
        <w:jc w:val="both"/>
      </w:pPr>
      <w:r>
        <w:rPr>
          <w:rFonts w:ascii="Times New Roman" w:hAnsi="Times New Roman" w:cs="Times New Roman" w:eastAsia="仿宋"/>
          <w:b w:val="0"/>
          <w:sz w:val="28"/>
        </w:rPr>
        <w:t>在法律允许的最大范围内，Bloomberg、其许可方、Galaxy及其各自的员工、承包商、代理人、供应商和供应商不对因指数、与之相关的任何数据或数值或任何产品（无论是因其疏忽还是其他原因）而引起的任何损害（直接、间接、后果性、附带性、惩罚性或其他）承担任何责任。证券交易通过Galaxy Digital Partners LLC（FINRA和SIPC会员）进行。VisionTrack数据仪表板和VisionTrack数据库仅供信息参考，不应作为任何投资决策的依据。本文档提供指向其他网站的链接，我们认为这些网站可能对您感兴趣。请注意，当您点击其中一个链接时，您可能会进入一个与Galaxy无关的提供商的网站。这些链接网站及其提供商不受我们控制，我们对任何链接网站的内容或正常运行不承担责任。包含任何链接并不意味着我们认可或采纳其中的陈述。我们建议您阅读这些链接网站的使用条款和隐私声明，因为其政策可能与我们的不同。</w:t>
      </w:r>
    </w:p>
    <w:p>
      <w:pPr>
        <w:pStyle w:val="正文内容"/>
        <w:spacing w:before="0" w:after="0" w:line="240" w:lineRule="auto"/>
        <w:ind w:left="0" w:right="0" w:firstLine="560"/>
        <w:jc w:val="both"/>
      </w:pPr>
      <w:r>
        <w:rPr>
          <w:rFonts w:ascii="Times New Roman" w:hAnsi="Times New Roman" w:cs="Times New Roman" w:eastAsia="仿宋"/>
          <w:b w:val="0"/>
          <w:sz w:val="28"/>
        </w:rPr>
        <w:t>本文档及其所含信息由Galaxy Digital Holdings LP及其关联方（“Galaxy”）仅出于信息目的提供给您。未经Galaxy明确书面批准，不得以任何形式全部或部分复制或重新分发本文档。本文档中的任何信息或意见均不构成购买或出售任何咨询服务、证券、期货、期权或其他金融工具或参与任何咨询服务或交易策略的要约或招揽。本文档中的任何内容均不构成投资、法律或税务建议。您应对本文档中的信息自行进行调查和评估。基于本文档所含信息的任何决定均由读者自行承担。本文档中的某些陈述反映了Galaxy的观点、估计、意见或预测（可能基于专有模型和假设，尤其是Galaxy对某些数字资产当前和未来市场的看法），且无法保证这些观点、估计、意见或预测目前准确或最终会实现。如果这些假设或模型不正确或情况发生变化，实际业绩可能与本文档中的估计存在重大差异且低于估计。Galaxy及其任何关联方、股东、合伙人、成员、董事、高级职员、管理层、雇员或代表均不对任何信息或任何其他信息（无论以书面或口头形式传达）的准确性或完整性作任何明示或暗示的陈述或保证。上述各方明确否认与使用该信息相关的任何及所有责任。本文档中的某些信息（包括财务信息）来自已发布和未发布的来源。Galaxy未独立验证此类信息，且不对其准确性承担责任。</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（信息来源：Galaxy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原文标题：Research â¢ January 24， 2024 2024 Institutional Crypto Hedge Fund &amp; Venture Report Funds Markets &amp; Macro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原文链接：https://assets.ctfassets.net/h62aj7eo1csj/7uisK9OoSR9Zp3cV4Q2uyS/992a6e48b383d0dde6eb4570df3e811f/GLXY_2024_Whitepaper_VisionTrack-2024InstitutionalCrypto_final.pdf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PDF文件：reports/2026/research_sources/20260604/Galaxy_Research_Research_January_24_2024_2024_Institutional_Crypto_Hedge_Fund_Venture_Report_Funds_Markets_Macro_ee2b1bc5.pdf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