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SEC主席Atkins宣布反创新时代结束并承诺加密监管清晰度</w:t>
      </w:r>
    </w:p>
    <w:p>
      <w:pPr>
        <w:pStyle w:val="ListParagraph"/>
        <w:spacing w:before="0" w:after="0" w:line="360" w:lineRule="auto"/>
        <w:ind w:left="0" w:firstLine="0"/>
      </w:pPr>
      <w:r>
        <w:rPr>
          <w:rFonts w:ascii="Times New Roman" w:hAnsi="Times New Roman" w:cs="Times New Roman" w:eastAsia="楷体"/>
          <w:b w:val="0"/>
          <w:sz w:val="28"/>
        </w:rPr>
        <w:t>· 香港数字资产政策与实践之间存在差距</w:t>
      </w:r>
    </w:p>
    <w:p>
      <w:pPr>
        <w:pStyle w:val="ListParagraph"/>
        <w:spacing w:before="0" w:after="0" w:line="360" w:lineRule="auto"/>
        <w:ind w:left="0" w:firstLine="0"/>
      </w:pPr>
      <w:r>
        <w:rPr>
          <w:rFonts w:ascii="Times New Roman" w:hAnsi="Times New Roman" w:cs="Times New Roman" w:eastAsia="楷体"/>
          <w:b w:val="0"/>
          <w:sz w:val="28"/>
        </w:rPr>
        <w:t>· 意大利BancaSella获得MiCA批准提供加密服务</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DTCC与Stellar合作推进机构代币化战略</w:t>
      </w:r>
    </w:p>
    <w:p>
      <w:pPr>
        <w:pStyle w:val="ListParagraph"/>
        <w:spacing w:before="0" w:after="0" w:line="360" w:lineRule="auto"/>
        <w:ind w:left="0" w:firstLine="0"/>
      </w:pPr>
      <w:r>
        <w:rPr>
          <w:rFonts w:ascii="Times New Roman" w:hAnsi="Times New Roman" w:cs="Times New Roman" w:eastAsia="楷体"/>
          <w:b w:val="0"/>
          <w:sz w:val="28"/>
        </w:rPr>
        <w:t>· Citrea发布CTR代币并加大比特币DeFi布局</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美国现货比特币ETF连续八日净流出总额达7.33亿美元</w:t>
      </w:r>
    </w:p>
    <w:p>
      <w:pPr>
        <w:pStyle w:val="ListParagraph"/>
        <w:spacing w:before="0" w:after="0" w:line="360" w:lineRule="auto"/>
        <w:ind w:left="0" w:firstLine="0"/>
      </w:pPr>
      <w:r>
        <w:rPr>
          <w:rFonts w:ascii="Times New Roman" w:hAnsi="Times New Roman" w:cs="Times New Roman" w:eastAsia="楷体"/>
          <w:b w:val="0"/>
          <w:sz w:val="28"/>
        </w:rPr>
        <w:t>· 比特币跌破73000美元美国空袭伊朗引发10亿美元清算</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加密CEO称比特币四年周期仍在发挥作用</w:t>
      </w:r>
    </w:p>
    <w:p>
      <w:pPr>
        <w:pStyle w:val="ListParagraph"/>
        <w:spacing w:before="0" w:after="0" w:line="360" w:lineRule="auto"/>
        <w:ind w:left="0" w:firstLine="0"/>
      </w:pPr>
      <w:r>
        <w:rPr>
          <w:rFonts w:ascii="Times New Roman" w:hAnsi="Times New Roman" w:cs="Times New Roman" w:eastAsia="楷体"/>
          <w:b w:val="0"/>
          <w:sz w:val="28"/>
        </w:rPr>
        <w:t>· 基金经理警告比特币可能进一步下跌1500亿美元国债操作即将到来</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代币化现实世界资产市场突破510亿美元Bernstein报告指出</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SEC主席Atkins宣布反创新时代结束并承诺加密监管清晰度</w:t>
      </w:r>
    </w:p>
    <w:p>
      <w:pPr>
        <w:spacing w:before="0" w:after="0" w:line="240" w:lineRule="auto"/>
        <w:ind w:left="0" w:right="0" w:firstLine="0"/>
        <w:jc w:val="both"/>
      </w:pPr>
      <w:r>
        <w:rPr>
          <w:rFonts w:ascii="Times New Roman" w:hAnsi="Times New Roman" w:cs="Times New Roman" w:eastAsia="仿宋"/>
          <w:b w:val="0"/>
          <w:sz w:val="28"/>
        </w:rPr>
        <w:t>· SEC主席Mark Uyeda（Atkins）表示过去的反创新监管立场已经结束</w:t>
      </w:r>
    </w:p>
    <w:p>
      <w:pPr>
        <w:spacing w:before="0" w:after="0" w:line="240" w:lineRule="auto"/>
        <w:ind w:left="0" w:right="0" w:firstLine="0"/>
        <w:jc w:val="both"/>
      </w:pPr>
      <w:r>
        <w:rPr>
          <w:rFonts w:ascii="Times New Roman" w:hAnsi="Times New Roman" w:cs="Times New Roman" w:eastAsia="仿宋"/>
          <w:b w:val="0"/>
          <w:sz w:val="28"/>
        </w:rPr>
        <w:t>· 承诺为数字资产行业提供更清晰的监管框架</w:t>
      </w:r>
    </w:p>
    <w:p>
      <w:pPr>
        <w:pStyle w:val="正文内容"/>
        <w:spacing w:before="0" w:after="0" w:line="240" w:lineRule="auto"/>
        <w:ind w:left="0" w:right="0" w:firstLine="560"/>
        <w:jc w:val="both"/>
      </w:pPr>
      <w:r>
        <w:rPr>
          <w:rFonts w:ascii="Times New Roman" w:hAnsi="Times New Roman" w:cs="Times New Roman" w:eastAsia="仿宋"/>
          <w:b w:val="0"/>
          <w:sz w:val="28"/>
        </w:rPr>
        <w:t>美国证券交易委员会（SEC）主席Mark Uyeda（Atkins）在公开表态中宣称，该机构针对加密货币行业的“反创新”时代已经终结，并誓言将致力于提供明确的监管规则。</w:t>
      </w:r>
    </w:p>
    <w:p>
      <w:pPr>
        <w:pStyle w:val="正文内容"/>
        <w:spacing w:before="0" w:after="0" w:line="240" w:lineRule="auto"/>
        <w:ind w:left="0" w:right="0" w:firstLine="560"/>
        <w:jc w:val="both"/>
      </w:pPr>
      <w:r>
        <w:rPr>
          <w:rFonts w:ascii="Times New Roman" w:hAnsi="Times New Roman" w:cs="Times New Roman" w:eastAsia="仿宋"/>
          <w:b w:val="0"/>
          <w:sz w:val="28"/>
        </w:rPr>
        <w:t>美国证券交易委员会（SEC）主席Mark Uyeda（Atkins）在一次行业会议上明确表示，SEC过去对数字资产采取的压制性做法已经结束。Uyeda指出，该机构将转向促进创新的监管方式，为加密货币企业提供更明确的合规路径。</w:t>
      </w:r>
    </w:p>
    <w:p>
      <w:pPr>
        <w:pStyle w:val="正文内容"/>
        <w:spacing w:before="0" w:after="0" w:line="240" w:lineRule="auto"/>
        <w:ind w:left="0" w:right="0" w:firstLine="560"/>
        <w:jc w:val="both"/>
      </w:pPr>
      <w:r>
        <w:rPr>
          <w:rFonts w:ascii="Times New Roman" w:hAnsi="Times New Roman" w:cs="Times New Roman" w:eastAsia="仿宋"/>
          <w:b w:val="0"/>
          <w:sz w:val="28"/>
        </w:rPr>
        <w:t>Uyeda强调，SEC正在制定新的指导方针，以区分证券和非证券数字资产，并计划在2026年内发布关键规则。这一转变被视为对特朗普政府加密友好政策的延续。</w:t>
      </w:r>
    </w:p>
    <w:p>
      <w:pPr>
        <w:pStyle w:val="正文内容"/>
        <w:spacing w:before="0" w:after="0" w:line="240" w:lineRule="auto"/>
        <w:ind w:left="0" w:right="0" w:firstLine="560"/>
        <w:jc w:val="both"/>
      </w:pPr>
      <w:r>
        <w:rPr>
          <w:rFonts w:ascii="Times New Roman" w:hAnsi="Times New Roman" w:cs="Times New Roman" w:eastAsia="仿宋"/>
          <w:b w:val="0"/>
          <w:sz w:val="28"/>
        </w:rPr>
        <w:t>市场参与者对Uyeda的讲话反应积极，认为这有助于提振机构投资者信心。但具体实施细则仍需等待正式文件发布。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原文标题：SEC Chair Atkins Declares Anti-Innovation Era Over， Vows Crypto Regulatory Clarity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原文链接：https：//news.google.com/rss/articles/CBMia0FVX3lxTE8xV1ZlajZqX2RENnBOQ0VvVGpuU2xWeHBueEdZdXVKeHBwSElzM1d1UEVCZFhDVkpQaHNkX3RTa2VwUDdSOHlIVnJjSE9XRk55c2l3bGtsTnVoSzVwUVdNeXFsY3BJc3FNMTZn</w:t>
      </w:r>
    </w:p>
    <w:p/>
    <w:p>
      <w:pPr>
        <w:pStyle w:val="文章一级标题"/>
        <w:spacing w:before="0" w:after="0" w:line="240" w:lineRule="auto"/>
        <w:ind w:left="0" w:right="0" w:firstLine="0"/>
        <w:jc w:val="center"/>
      </w:pPr>
      <w:r>
        <w:rPr>
          <w:rFonts w:ascii="Times New Roman" w:hAnsi="Times New Roman" w:cs="Times New Roman" w:eastAsia="黑体"/>
          <w:b w:val="0"/>
          <w:sz w:val="30"/>
        </w:rPr>
        <w:t>香港数字资产政策与实践之间存在差距</w:t>
      </w:r>
    </w:p>
    <w:p>
      <w:pPr>
        <w:spacing w:before="0" w:after="0" w:line="240" w:lineRule="auto"/>
        <w:ind w:left="0" w:right="0" w:firstLine="0"/>
        <w:jc w:val="both"/>
      </w:pPr>
      <w:r>
        <w:rPr>
          <w:rFonts w:ascii="Times New Roman" w:hAnsi="Times New Roman" w:cs="Times New Roman" w:eastAsia="仿宋"/>
          <w:b w:val="0"/>
          <w:sz w:val="28"/>
        </w:rPr>
        <w:t>· 香港在数字资产政策制定上取得进展，但实际执行层面存在不足</w:t>
      </w:r>
    </w:p>
    <w:p>
      <w:pPr>
        <w:spacing w:before="0" w:after="0" w:line="240" w:lineRule="auto"/>
        <w:ind w:left="0" w:right="0" w:firstLine="0"/>
        <w:jc w:val="both"/>
      </w:pPr>
      <w:r>
        <w:rPr>
          <w:rFonts w:ascii="Times New Roman" w:hAnsi="Times New Roman" w:cs="Times New Roman" w:eastAsia="仿宋"/>
          <w:b w:val="0"/>
          <w:sz w:val="28"/>
        </w:rPr>
        <w:t>· 业界呼吁加强跨机构协调及简化合规流程</w:t>
      </w:r>
    </w:p>
    <w:p>
      <w:pPr>
        <w:pStyle w:val="正文内容"/>
        <w:spacing w:before="0" w:after="0" w:line="240" w:lineRule="auto"/>
        <w:ind w:left="0" w:right="0" w:firstLine="560"/>
        <w:jc w:val="both"/>
      </w:pPr>
      <w:r>
        <w:rPr>
          <w:rFonts w:ascii="Times New Roman" w:hAnsi="Times New Roman" w:cs="Times New Roman" w:eastAsia="仿宋"/>
          <w:b w:val="0"/>
          <w:sz w:val="28"/>
        </w:rPr>
        <w:t>《南华早报》分析文章指出，尽管香港在数字资产监管框架上不断推进，但政策与落地实践之间仍存在显著落差，影响市场信心。</w:t>
      </w:r>
    </w:p>
    <w:p>
      <w:pPr>
        <w:pStyle w:val="正文内容"/>
        <w:spacing w:before="0" w:after="0" w:line="240" w:lineRule="auto"/>
        <w:ind w:left="0" w:right="0" w:firstLine="560"/>
        <w:jc w:val="both"/>
      </w:pPr>
      <w:r>
        <w:rPr>
          <w:rFonts w:ascii="Times New Roman" w:hAnsi="Times New Roman" w:cs="Times New Roman" w:eastAsia="仿宋"/>
          <w:b w:val="0"/>
          <w:sz w:val="28"/>
        </w:rPr>
        <w:t>香港证券及期货事务监察委员会（SFC）与香港金融管理局（HKMA）已出台多项虚拟资产相关指引，但业界反映申请牌照和合规流程依然复杂且耗时。部分企业因监管不确定性而延迟在港扩张计划。</w:t>
      </w:r>
    </w:p>
    <w:p>
      <w:pPr>
        <w:pStyle w:val="正文内容"/>
        <w:spacing w:before="0" w:after="0" w:line="240" w:lineRule="auto"/>
        <w:ind w:left="0" w:right="0" w:firstLine="560"/>
        <w:jc w:val="both"/>
      </w:pPr>
      <w:r>
        <w:rPr>
          <w:rFonts w:ascii="Times New Roman" w:hAnsi="Times New Roman" w:cs="Times New Roman" w:eastAsia="仿宋"/>
          <w:b w:val="0"/>
          <w:sz w:val="28"/>
        </w:rPr>
        <w:t>文章引述数位行业人士观点，认为香港需进一步厘清稳定币监管规则，并加强跨部门协作，以弥合政策与实操之间的鸿沟。</w:t>
      </w:r>
    </w:p>
    <w:p>
      <w:pPr>
        <w:pStyle w:val="正文内容"/>
        <w:spacing w:before="0" w:after="0" w:line="240" w:lineRule="auto"/>
        <w:ind w:left="0" w:right="0" w:firstLine="560"/>
        <w:jc w:val="both"/>
      </w:pPr>
      <w:r>
        <w:rPr>
          <w:rFonts w:ascii="Times New Roman" w:hAnsi="Times New Roman" w:cs="Times New Roman" w:eastAsia="仿宋"/>
          <w:b w:val="0"/>
          <w:sz w:val="28"/>
        </w:rPr>
        <w:t>香港政府此前表示将推动虚拟资产服务提供者发牌制度，但市场期待更清晰的落地时间表。分析认为，若不解决执行层面的障碍，香港可能在全球数字资产竞争中落后。</w:t>
      </w:r>
    </w:p>
    <w:p>
      <w:pPr>
        <w:pStyle w:val="信息来源"/>
        <w:spacing w:before="50" w:after="100" w:line="240" w:lineRule="auto"/>
        <w:ind w:left="0" w:right="0" w:firstLine="0"/>
        <w:jc w:val="right"/>
      </w:pPr>
      <w:r>
        <w:rPr>
          <w:rFonts w:ascii="Times New Roman" w:hAnsi="Times New Roman" w:cs="Times New Roman" w:eastAsia="仿宋"/>
          <w:b w:val="0"/>
          <w:sz w:val="21"/>
        </w:rPr>
        <w:t>（信息来源：South China Morning Post）</w:t>
      </w:r>
    </w:p>
    <w:p>
      <w:pPr>
        <w:pStyle w:val="原文信息"/>
        <w:spacing w:before="0" w:after="0" w:line="240" w:lineRule="auto"/>
        <w:ind w:left="0" w:right="0" w:firstLine="0"/>
        <w:jc w:val="left"/>
      </w:pPr>
      <w:r>
        <w:rPr>
          <w:rFonts w:ascii="Times New Roman" w:hAnsi="Times New Roman" w:cs="Times New Roman" w:eastAsia="仿宋"/>
          <w:b w:val="0"/>
          <w:sz w:val="18"/>
        </w:rPr>
        <w:t>原文标题：Mind the gap between Hong Kong digital asset policy and practice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Q</w:t>
      </w:r>
    </w:p>
    <w:p/>
    <w:p>
      <w:pPr>
        <w:pStyle w:val="文章一级标题"/>
        <w:spacing w:before="0" w:after="0" w:line="240" w:lineRule="auto"/>
        <w:ind w:left="0" w:right="0" w:firstLine="0"/>
        <w:jc w:val="center"/>
      </w:pPr>
      <w:r>
        <w:rPr>
          <w:rFonts w:ascii="Times New Roman" w:hAnsi="Times New Roman" w:cs="Times New Roman" w:eastAsia="黑体"/>
          <w:b w:val="0"/>
          <w:sz w:val="30"/>
        </w:rPr>
        <w:t>意大利BancaSella获得MiCA批准提供加密服务</w:t>
      </w:r>
    </w:p>
    <w:p>
      <w:pPr>
        <w:spacing w:before="0" w:after="0" w:line="240" w:lineRule="auto"/>
        <w:ind w:left="0" w:right="0" w:firstLine="0"/>
        <w:jc w:val="both"/>
      </w:pPr>
      <w:r>
        <w:rPr>
          <w:rFonts w:ascii="Times New Roman" w:hAnsi="Times New Roman" w:cs="Times New Roman" w:eastAsia="仿宋"/>
          <w:b w:val="0"/>
          <w:sz w:val="28"/>
        </w:rPr>
        <w:t>· Banca Sella成为意大利首家根据MiCA法规获批的银行</w:t>
      </w:r>
    </w:p>
    <w:p>
      <w:pPr>
        <w:spacing w:before="0" w:after="0" w:line="240" w:lineRule="auto"/>
        <w:ind w:left="0" w:right="0" w:firstLine="0"/>
        <w:jc w:val="both"/>
      </w:pPr>
      <w:r>
        <w:rPr>
          <w:rFonts w:ascii="Times New Roman" w:hAnsi="Times New Roman" w:cs="Times New Roman" w:eastAsia="仿宋"/>
          <w:b w:val="0"/>
          <w:sz w:val="28"/>
        </w:rPr>
        <w:t>· 该银行将提供加密货币托管和交易服务</w:t>
      </w:r>
    </w:p>
    <w:p>
      <w:pPr>
        <w:pStyle w:val="正文内容"/>
        <w:spacing w:before="0" w:after="0" w:line="240" w:lineRule="auto"/>
        <w:ind w:left="0" w:right="0" w:firstLine="560"/>
        <w:jc w:val="both"/>
      </w:pPr>
      <w:r>
        <w:rPr>
          <w:rFonts w:ascii="Times New Roman" w:hAnsi="Times New Roman" w:cs="Times New Roman" w:eastAsia="仿宋"/>
          <w:b w:val="0"/>
          <w:sz w:val="28"/>
        </w:rPr>
        <w:t>意大利银行Banca Sella获得欧盟加密资产市场监管框架（MiCA，Markets in Crypto-Assets）的批准，成为该国首家获准直接向客户提供加密货币服务的银行。</w:t>
      </w:r>
    </w:p>
    <w:p>
      <w:pPr>
        <w:pStyle w:val="正文内容"/>
        <w:spacing w:before="0" w:after="0" w:line="240" w:lineRule="auto"/>
        <w:ind w:left="0" w:right="0" w:firstLine="560"/>
        <w:jc w:val="both"/>
      </w:pPr>
      <w:r>
        <w:rPr>
          <w:rFonts w:ascii="Times New Roman" w:hAnsi="Times New Roman" w:cs="Times New Roman" w:eastAsia="仿宋"/>
          <w:b w:val="0"/>
          <w:sz w:val="28"/>
        </w:rPr>
        <w:t>Banca Sella宣布已获得意大利监管机构根据MiCA法规的授权，将向其零售和机构客户提供加密货币托管、购买和出售服务。该银行此前参与了意大利央行的分布式账本技术（DLT，Distributed Ledger Technology）试点。</w:t>
      </w:r>
    </w:p>
    <w:p>
      <w:pPr>
        <w:pStyle w:val="正文内容"/>
        <w:spacing w:before="0" w:after="0" w:line="240" w:lineRule="auto"/>
        <w:ind w:left="0" w:right="0" w:firstLine="560"/>
        <w:jc w:val="both"/>
      </w:pPr>
      <w:r>
        <w:rPr>
          <w:rFonts w:ascii="Times New Roman" w:hAnsi="Times New Roman" w:cs="Times New Roman" w:eastAsia="仿宋"/>
          <w:b w:val="0"/>
          <w:sz w:val="28"/>
        </w:rPr>
        <w:t>Banca Sella表示，其加密服务将遵循MiCA的严格合规要求，包括资本充足率、资产隔离和客户保护措施。该银行还加入了由37家欧洲银行支持的Qivalis稳定币项目。</w:t>
      </w:r>
    </w:p>
    <w:p>
      <w:pPr>
        <w:pStyle w:val="正文内容"/>
        <w:spacing w:before="0" w:after="0" w:line="240" w:lineRule="auto"/>
        <w:ind w:left="0" w:right="0" w:firstLine="560"/>
        <w:jc w:val="both"/>
      </w:pPr>
      <w:r>
        <w:rPr>
          <w:rFonts w:ascii="Times New Roman" w:hAnsi="Times New Roman" w:cs="Times New Roman" w:eastAsia="仿宋"/>
          <w:b w:val="0"/>
          <w:sz w:val="28"/>
        </w:rPr>
        <w:t>分析人士指出，Banca Sella的获批标志着MiCA法规在欧盟成员国中的落地加速，传统金融机构开始大规模进入数字资产领域。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（信息来源：cointelegraph.com）</w:t>
      </w:r>
    </w:p>
    <w:p>
      <w:pPr>
        <w:pStyle w:val="原文信息"/>
        <w:spacing w:before="0" w:after="0" w:line="240" w:lineRule="auto"/>
        <w:ind w:left="0" w:right="0" w:firstLine="0"/>
        <w:jc w:val="left"/>
      </w:pPr>
      <w:r>
        <w:rPr>
          <w:rFonts w:ascii="Times New Roman" w:hAnsi="Times New Roman" w:cs="Times New Roman" w:eastAsia="仿宋"/>
          <w:b w:val="0"/>
          <w:sz w:val="18"/>
        </w:rPr>
        <w:t>原文标题：Italy’s Banca Sella Gets MiCA Approval for Crypto Services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原文链接：https：//news.google.com/rss/articles/CBMihAFBVV95cUxOaHdkWGw4ZTgya0doeTV0NDRzdlRERVJXbEJPejFqRU16Z0h6dnFBazhBRGhQaTM1OGF4VE4wWjVhY2l2UjRrcWpjOXNGSTQ2TE5mSnNYWDlZY3dMSnZnZ3p3SGczYmFDdjRYcnQyRTA1OTNNTHpoeE54ejhNMkNSVE5VZWM</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DTCC与Stellar合作推进机构代币化战略</w:t>
      </w:r>
    </w:p>
    <w:p>
      <w:pPr>
        <w:spacing w:before="0" w:after="0" w:line="240" w:lineRule="auto"/>
        <w:ind w:left="0" w:right="0" w:firstLine="0"/>
        <w:jc w:val="both"/>
      </w:pPr>
      <w:r>
        <w:rPr>
          <w:rFonts w:ascii="Times New Roman" w:hAnsi="Times New Roman" w:cs="Times New Roman" w:eastAsia="仿宋"/>
          <w:b w:val="0"/>
          <w:sz w:val="28"/>
        </w:rPr>
        <w:t>· DTCC选择Stellar网络用于代币化证券基础设施</w:t>
      </w:r>
    </w:p>
    <w:p>
      <w:pPr>
        <w:spacing w:before="0" w:after="0" w:line="240" w:lineRule="auto"/>
        <w:ind w:left="0" w:right="0" w:firstLine="0"/>
        <w:jc w:val="both"/>
      </w:pPr>
      <w:r>
        <w:rPr>
          <w:rFonts w:ascii="Times New Roman" w:hAnsi="Times New Roman" w:cs="Times New Roman" w:eastAsia="仿宋"/>
          <w:b w:val="0"/>
          <w:sz w:val="28"/>
        </w:rPr>
        <w:t>· 预计2027年上线，涵盖股票、ETF和国债</w:t>
      </w:r>
    </w:p>
    <w:p>
      <w:pPr>
        <w:pStyle w:val="正文内容"/>
        <w:spacing w:before="0" w:after="0" w:line="240" w:lineRule="auto"/>
        <w:ind w:left="0" w:right="0" w:firstLine="560"/>
        <w:jc w:val="both"/>
      </w:pPr>
      <w:r>
        <w:rPr>
          <w:rFonts w:ascii="Times New Roman" w:hAnsi="Times New Roman" w:cs="Times New Roman" w:eastAsia="仿宋"/>
          <w:b w:val="0"/>
          <w:sz w:val="28"/>
        </w:rPr>
        <w:t>美国证券存托与清算公司（DTCC，Depository Trust &amp; Clearing Corporation）宣布与Stellar区块链网络合作，计划将其代币化服务扩展至Stellar公链，推动机构级区块链采用。</w:t>
      </w:r>
    </w:p>
    <w:p>
      <w:pPr>
        <w:pStyle w:val="正文内容"/>
        <w:spacing w:before="0" w:after="0" w:line="240" w:lineRule="auto"/>
        <w:ind w:left="0" w:right="0" w:firstLine="560"/>
        <w:jc w:val="both"/>
      </w:pPr>
      <w:r>
        <w:rPr>
          <w:rFonts w:ascii="Times New Roman" w:hAnsi="Times New Roman" w:cs="Times New Roman" w:eastAsia="仿宋"/>
          <w:b w:val="0"/>
          <w:sz w:val="28"/>
        </w:rPr>
        <w:t>DTCC表示，其代币化服务将连接Stellar公共区块链，作为其多链战略的一部分。初期阶段将支持代币化股票、交易所交易基金（ETF）和美国国债，目标在2027年正式上线。</w:t>
      </w:r>
    </w:p>
    <w:p>
      <w:pPr>
        <w:pStyle w:val="正文内容"/>
        <w:spacing w:before="0" w:after="0" w:line="240" w:lineRule="auto"/>
        <w:ind w:left="0" w:right="0" w:firstLine="560"/>
        <w:jc w:val="both"/>
      </w:pPr>
      <w:r>
        <w:rPr>
          <w:rFonts w:ascii="Times New Roman" w:hAnsi="Times New Roman" w:cs="Times New Roman" w:eastAsia="仿宋"/>
          <w:b w:val="0"/>
          <w:sz w:val="28"/>
        </w:rPr>
        <w:t>此举是DTCC继与Chainlink合作后的又一重要举措，旨在为传统金融市场提供基于区块链的结算效率。Stellar网络以其低成本和高吞吐量著称，适合机构级资产代币化。</w:t>
      </w:r>
    </w:p>
    <w:p>
      <w:pPr>
        <w:pStyle w:val="正文内容"/>
        <w:spacing w:before="0" w:after="0" w:line="240" w:lineRule="auto"/>
        <w:ind w:left="0" w:right="0" w:firstLine="560"/>
        <w:jc w:val="both"/>
      </w:pPr>
      <w:r>
        <w:rPr>
          <w:rFonts w:ascii="Times New Roman" w:hAnsi="Times New Roman" w:cs="Times New Roman" w:eastAsia="仿宋"/>
          <w:b w:val="0"/>
          <w:sz w:val="28"/>
        </w:rPr>
        <w:t>DTCC首席执行官表示，代币化有潜力改变资本市场的运作方式，通过缩短结算周期和降低运营成本来提升市场效率。</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（信息来源：TronWeekly）</w:t>
      </w:r>
    </w:p>
    <w:p>
      <w:pPr>
        <w:pStyle w:val="原文信息"/>
        <w:spacing w:before="0" w:after="0" w:line="240" w:lineRule="auto"/>
        <w:ind w:left="0" w:right="0" w:firstLine="0"/>
        <w:jc w:val="left"/>
      </w:pPr>
      <w:r>
        <w:rPr>
          <w:rFonts w:ascii="Times New Roman" w:hAnsi="Times New Roman" w:cs="Times New Roman" w:eastAsia="仿宋"/>
          <w:b w:val="0"/>
          <w:sz w:val="18"/>
        </w:rPr>
        <w:t>原文标题：DTCC Tokenization Targets Institutional Blockchain Adoption With Stellar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原文链接：https：//news.google.com/rss/articles/CBMidkFVX3lxTFBuSnY5OWtCaHcyTWZES21Pb29LUFJhVGJHek1KZHUwV29rMGhpWWp6RFlxanVLSWZIUVVCSjdRdmYxdmk2ZC1RT1V2Wmk5dlN1bVZSMlo4NmxMV0tLYUVQTng2MDJiS0lqUGFtRExJU1EzWnBoTnc</w:t>
      </w:r>
    </w:p>
    <w:p/>
    <w:p>
      <w:pPr>
        <w:pStyle w:val="文章一级标题"/>
        <w:spacing w:before="0" w:after="0" w:line="240" w:lineRule="auto"/>
        <w:ind w:left="0" w:right="0" w:firstLine="0"/>
        <w:jc w:val="center"/>
      </w:pPr>
      <w:r>
        <w:rPr>
          <w:rFonts w:ascii="Times New Roman" w:hAnsi="Times New Roman" w:cs="Times New Roman" w:eastAsia="黑体"/>
          <w:b w:val="0"/>
          <w:sz w:val="30"/>
        </w:rPr>
        <w:t>Citrea发布CTR代币并加大比特币DeFi布局</w:t>
      </w:r>
    </w:p>
    <w:p>
      <w:pPr>
        <w:spacing w:before="0" w:after="0" w:line="240" w:lineRule="auto"/>
        <w:ind w:left="0" w:right="0" w:firstLine="0"/>
        <w:jc w:val="both"/>
      </w:pPr>
      <w:r>
        <w:rPr>
          <w:rFonts w:ascii="Times New Roman" w:hAnsi="Times New Roman" w:cs="Times New Roman" w:eastAsia="仿宋"/>
          <w:b w:val="0"/>
          <w:sz w:val="28"/>
        </w:rPr>
        <w:t>· Citrea推出原生代币CTR以支持其比特币二层网络</w:t>
      </w:r>
    </w:p>
    <w:p>
      <w:pPr>
        <w:spacing w:before="0" w:after="0" w:line="240" w:lineRule="auto"/>
        <w:ind w:left="0" w:right="0" w:firstLine="0"/>
        <w:jc w:val="both"/>
      </w:pPr>
      <w:r>
        <w:rPr>
          <w:rFonts w:ascii="Times New Roman" w:hAnsi="Times New Roman" w:cs="Times New Roman" w:eastAsia="仿宋"/>
          <w:b w:val="0"/>
          <w:sz w:val="28"/>
        </w:rPr>
        <w:t>· 旨在将DeFi功能引入比特币生态系统</w:t>
      </w:r>
    </w:p>
    <w:p>
      <w:pPr>
        <w:pStyle w:val="正文内容"/>
        <w:spacing w:before="0" w:after="0" w:line="240" w:lineRule="auto"/>
        <w:ind w:left="0" w:right="0" w:firstLine="560"/>
        <w:jc w:val="both"/>
      </w:pPr>
      <w:r>
        <w:rPr>
          <w:rFonts w:ascii="Times New Roman" w:hAnsi="Times New Roman" w:cs="Times New Roman" w:eastAsia="仿宋"/>
          <w:b w:val="0"/>
          <w:sz w:val="28"/>
        </w:rPr>
        <w:t>比特币二层网络项目Citrea宣布推出CTR代币，并加速推进基于比特币的去中心化金融（DeFi，Decentralized Finance）生态系统建设。</w:t>
      </w:r>
    </w:p>
    <w:p>
      <w:pPr>
        <w:pStyle w:val="正文内容"/>
        <w:spacing w:before="0" w:after="0" w:line="240" w:lineRule="auto"/>
        <w:ind w:left="0" w:right="0" w:firstLine="560"/>
        <w:jc w:val="both"/>
      </w:pPr>
      <w:r>
        <w:rPr>
          <w:rFonts w:ascii="Times New Roman" w:hAnsi="Times New Roman" w:cs="Times New Roman" w:eastAsia="仿宋"/>
          <w:b w:val="0"/>
          <w:sz w:val="28"/>
        </w:rPr>
        <w:t>Citrea团队表示，CTR代币将用于网络治理、质押和交易费用支付。该项目专注于利用零知识证明（ZK-proofs）技术在比特币上实现智能合约功能，从而解锁比特币的DeFi潜力。</w:t>
      </w:r>
    </w:p>
    <w:p>
      <w:pPr>
        <w:pStyle w:val="正文内容"/>
        <w:spacing w:before="0" w:after="0" w:line="240" w:lineRule="auto"/>
        <w:ind w:left="0" w:right="0" w:firstLine="560"/>
        <w:jc w:val="both"/>
      </w:pPr>
      <w:r>
        <w:rPr>
          <w:rFonts w:ascii="Times New Roman" w:hAnsi="Times New Roman" w:cs="Times New Roman" w:eastAsia="仿宋"/>
          <w:b w:val="0"/>
          <w:sz w:val="28"/>
        </w:rPr>
        <w:t>Citrea的路线图包括与多个比特币侧链和跨链桥的集成，以提升流动性。该项目已获得多家风投机构支持，并在测试网阶段积累了超过10万个钱包地址。</w:t>
      </w:r>
    </w:p>
    <w:p>
      <w:pPr>
        <w:pStyle w:val="正文内容"/>
        <w:spacing w:before="0" w:after="0" w:line="240" w:lineRule="auto"/>
        <w:ind w:left="0" w:right="0" w:firstLine="560"/>
        <w:jc w:val="both"/>
      </w:pPr>
      <w:r>
        <w:rPr>
          <w:rFonts w:ascii="Times New Roman" w:hAnsi="Times New Roman" w:cs="Times New Roman" w:eastAsia="仿宋"/>
          <w:b w:val="0"/>
          <w:sz w:val="28"/>
        </w:rPr>
        <w:t>分析人士认为，Citrea的推进反映了行业内将比特币从单纯的价值存储转化为可编程资产的趋势。</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（信息来源：bloomingbit）</w:t>
      </w:r>
    </w:p>
    <w:p>
      <w:pPr>
        <w:pStyle w:val="原文信息"/>
        <w:spacing w:before="0" w:after="0" w:line="240" w:lineRule="auto"/>
        <w:ind w:left="0" w:right="0" w:firstLine="0"/>
        <w:jc w:val="left"/>
      </w:pPr>
      <w:r>
        <w:rPr>
          <w:rFonts w:ascii="Times New Roman" w:hAnsi="Times New Roman" w:cs="Times New Roman" w:eastAsia="仿宋"/>
          <w:b w:val="0"/>
          <w:sz w:val="18"/>
        </w:rPr>
        <w:t>原文标题：Citrea Unveils CTR Token， Steps Up Push Into Bitcoin-Based DeFi</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原文链接：https：//news.google.com/rss/articles/CBMiVEFVX3lxTE1UX1RTa0lyTC0xY3FJMTRYLU9KQjB5d1pIR0xMS2pEb0Q3SFRkUDBNckFuQURyVlNzeDhkMUZfUzFrRnliVllBU0VIRG1KcEk5RF9keg</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美国现货比特币ETF连续八日净流出总额达7.33亿美元</w:t>
      </w:r>
    </w:p>
    <w:p>
      <w:pPr>
        <w:spacing w:before="0" w:after="0" w:line="240" w:lineRule="auto"/>
        <w:ind w:left="0" w:right="0" w:firstLine="0"/>
        <w:jc w:val="both"/>
      </w:pPr>
      <w:r>
        <w:rPr>
          <w:rFonts w:ascii="Times New Roman" w:hAnsi="Times New Roman" w:cs="Times New Roman" w:eastAsia="仿宋"/>
          <w:b w:val="0"/>
          <w:sz w:val="28"/>
        </w:rPr>
        <w:t>· 美国现货比特币ETF遭遇连续第八个交易日净流出</w:t>
      </w:r>
    </w:p>
    <w:p>
      <w:pPr>
        <w:spacing w:before="0" w:after="0" w:line="240" w:lineRule="auto"/>
        <w:ind w:left="0" w:right="0" w:firstLine="0"/>
        <w:jc w:val="both"/>
      </w:pPr>
      <w:r>
        <w:rPr>
          <w:rFonts w:ascii="Times New Roman" w:hAnsi="Times New Roman" w:cs="Times New Roman" w:eastAsia="仿宋"/>
          <w:b w:val="0"/>
          <w:sz w:val="28"/>
        </w:rPr>
        <w:t>· 过去八天累计流出7.33亿美元</w:t>
      </w:r>
    </w:p>
    <w:p>
      <w:pPr>
        <w:pStyle w:val="正文内容"/>
        <w:spacing w:before="0" w:after="0" w:line="240" w:lineRule="auto"/>
        <w:ind w:left="0" w:right="0" w:firstLine="560"/>
        <w:jc w:val="both"/>
      </w:pPr>
      <w:r>
        <w:rPr>
          <w:rFonts w:ascii="Times New Roman" w:hAnsi="Times New Roman" w:cs="Times New Roman" w:eastAsia="仿宋"/>
          <w:b w:val="0"/>
          <w:sz w:val="28"/>
        </w:rPr>
        <w:t>根据最新数据，美国现货比特币交易所交易基金（ETF）的资金外流趋势持续，已连续八个交易日出现净流出，累计撤资达7.33亿美元。</w:t>
      </w:r>
    </w:p>
    <w:p>
      <w:pPr>
        <w:pStyle w:val="正文内容"/>
        <w:spacing w:before="0" w:after="0" w:line="240" w:lineRule="auto"/>
        <w:ind w:left="0" w:right="0" w:firstLine="560"/>
        <w:jc w:val="both"/>
      </w:pPr>
      <w:r>
        <w:rPr>
          <w:rFonts w:ascii="Times New Roman" w:hAnsi="Times New Roman" w:cs="Times New Roman" w:eastAsia="仿宋"/>
          <w:b w:val="0"/>
          <w:sz w:val="28"/>
        </w:rPr>
        <w:t>截至2026年5月28日，美国所有现货比特币ETF在八天内的总流出量达到7.33亿美元。其中，贝莱德（BlackRock）的IBIT产品在5月27日出现单日5.28亿美元的流出，为该ETF历史上第二大单日净流出。</w:t>
      </w:r>
    </w:p>
    <w:p>
      <w:pPr>
        <w:pStyle w:val="正文内容"/>
        <w:spacing w:before="0" w:after="0" w:line="240" w:lineRule="auto"/>
        <w:ind w:left="0" w:right="0" w:firstLine="560"/>
        <w:jc w:val="both"/>
      </w:pPr>
      <w:r>
        <w:rPr>
          <w:rFonts w:ascii="Times New Roman" w:hAnsi="Times New Roman" w:cs="Times New Roman" w:eastAsia="仿宋"/>
          <w:b w:val="0"/>
          <w:sz w:val="28"/>
        </w:rPr>
        <w:t>分析师认为，资金外流与宏观不确定性、地缘政治紧张以及投资者转向AI相关资产有关。同时，比特币价格在同期下跌至73，000美元以下，创五周新低。</w:t>
      </w:r>
    </w:p>
    <w:p>
      <w:pPr>
        <w:pStyle w:val="正文内容"/>
        <w:spacing w:before="0" w:after="0" w:line="240" w:lineRule="auto"/>
        <w:ind w:left="0" w:right="0" w:firstLine="560"/>
        <w:jc w:val="both"/>
      </w:pPr>
      <w:r>
        <w:rPr>
          <w:rFonts w:ascii="Times New Roman" w:hAnsi="Times New Roman" w:cs="Times New Roman" w:eastAsia="仿宋"/>
          <w:b w:val="0"/>
          <w:sz w:val="28"/>
        </w:rPr>
        <w:t>尽管如此，部分ETF如XRP和HYPE基金仍录得资金流入，显示市场资金在不同数字资产间轮动。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原文标题：US Spot Bitcoin ETFs Extend Outflow Streak To Eight Days With $733 Million Exodus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原文链接：https：//news.google.com/rss/articles/CBMickFVX3lxTE5OM0s1MUZNbXJKdEVCN1hSbjNNOEwyUkNYMUZOWW5ha2NLQTZqTF9hWFVNY0tmdjVEd25ycERCU3d4R0hUVzZRUFY3SF8tSm5mYkJqdkVlQ3NVMENWZjBoS1BhQ1NDdVQ1Y3NCQmRvckg2UQ</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比特币跌破73000美元美国空袭伊朗引发10亿美元清算</w:t>
      </w:r>
    </w:p>
    <w:p>
      <w:pPr>
        <w:spacing w:before="0" w:after="0" w:line="240" w:lineRule="auto"/>
        <w:ind w:left="0" w:right="0" w:firstLine="0"/>
        <w:jc w:val="both"/>
      </w:pPr>
      <w:r>
        <w:rPr>
          <w:rFonts w:ascii="Times New Roman" w:hAnsi="Times New Roman" w:cs="Times New Roman" w:eastAsia="仿宋"/>
          <w:b w:val="0"/>
          <w:sz w:val="28"/>
        </w:rPr>
        <w:t>· 美国对伊朗发动空袭后比特币价格暴跌</w:t>
      </w:r>
    </w:p>
    <w:p>
      <w:pPr>
        <w:spacing w:before="0" w:after="0" w:line="240" w:lineRule="auto"/>
        <w:ind w:left="0" w:right="0" w:firstLine="0"/>
        <w:jc w:val="both"/>
      </w:pPr>
      <w:r>
        <w:rPr>
          <w:rFonts w:ascii="Times New Roman" w:hAnsi="Times New Roman" w:cs="Times New Roman" w:eastAsia="仿宋"/>
          <w:b w:val="0"/>
          <w:sz w:val="28"/>
        </w:rPr>
        <w:t>· 加密货币市场遭遇约10亿美元清算</w:t>
      </w:r>
    </w:p>
    <w:p>
      <w:pPr>
        <w:pStyle w:val="正文内容"/>
        <w:spacing w:before="0" w:after="0" w:line="240" w:lineRule="auto"/>
        <w:ind w:left="0" w:right="0" w:firstLine="560"/>
        <w:jc w:val="both"/>
      </w:pPr>
      <w:r>
        <w:rPr>
          <w:rFonts w:ascii="Times New Roman" w:hAnsi="Times New Roman" w:cs="Times New Roman" w:eastAsia="仿宋"/>
          <w:b w:val="0"/>
          <w:sz w:val="28"/>
        </w:rPr>
        <w:t>加密货币市场因美国对伊朗的军事打击而剧烈震荡，比特币价格跌至73，000美元以下，全市场爆仓金额约达10亿美元。</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2026年5月28日，美国宣布对伊朗境内目标实施空袭，引发全球风险资产抛售。比特币价格在消息公布后一小时内下跌超过4%，跌破73，000美元关口，创下五周新低。</w:t>
      </w:r>
    </w:p>
    <w:p>
      <w:pPr>
        <w:pStyle w:val="正文内容"/>
        <w:spacing w:before="0" w:after="0" w:line="240" w:lineRule="auto"/>
        <w:ind w:left="0" w:right="0" w:firstLine="560"/>
        <w:jc w:val="both"/>
      </w:pPr>
      <w:r>
        <w:rPr>
          <w:rFonts w:ascii="Times New Roman" w:hAnsi="Times New Roman" w:cs="Times New Roman" w:eastAsia="仿宋"/>
          <w:b w:val="0"/>
          <w:sz w:val="28"/>
        </w:rPr>
        <w:t>Coinglass数据显示，过去24小时加密货币市场总清算量约为10亿美元，其中多头头寸占主导。同时，以太坊（ETH）也下跌至2，000美元附近，其他主流币种普遍走低。</w:t>
      </w:r>
    </w:p>
    <w:p>
      <w:pPr>
        <w:pStyle w:val="正文内容"/>
        <w:spacing w:before="0" w:after="0" w:line="240" w:lineRule="auto"/>
        <w:ind w:left="0" w:right="0" w:firstLine="560"/>
        <w:jc w:val="both"/>
      </w:pPr>
      <w:r>
        <w:rPr>
          <w:rFonts w:ascii="Times New Roman" w:hAnsi="Times New Roman" w:cs="Times New Roman" w:eastAsia="仿宋"/>
          <w:b w:val="0"/>
          <w:sz w:val="28"/>
        </w:rPr>
        <w:t>部分分析师指出，地缘政治风险叠加美国现货比特币ETF持续流出，加剧了市场恐慌情绪。不过也有观点认为，比特币在短期冲击后可能企稳。</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drops below $73，000 as U.S. strikes on Iran spark $1 billion liquidations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xgFBVV95cUxNLW16OUdFVzlLQ0tVQ3VfVUtuUG1DY0VqRlpBbTNaYU5GSm83STdRVDB1SEpyVWJCX2NwOTh1ejZLVzJqcmI0cVpIaThfQWhiNElOTWN6WmlibkpUbC1OM1JvcEVoaFFyNnlQa2JqS2tjdHRwM1lZLXpUTHk2dk9XamkteWRqSjdzV2d5TWFnN0hyRWo4UkFvRnN5SHBUU19fUmVlTUt0YUdtVllQWWtvWEtVaXRXVFZDVmdpbXNwWE81b2pYb0E</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加密CEO称比特币四年周期仍在发挥作用</w:t>
      </w:r>
    </w:p>
    <w:p>
      <w:pPr>
        <w:spacing w:before="0" w:after="0" w:line="240" w:lineRule="auto"/>
        <w:ind w:left="0" w:right="0" w:firstLine="0"/>
        <w:jc w:val="both"/>
      </w:pPr>
      <w:r>
        <w:rPr>
          <w:rFonts w:ascii="Times New Roman" w:hAnsi="Times New Roman" w:cs="Times New Roman" w:eastAsia="仿宋"/>
          <w:b w:val="0"/>
          <w:sz w:val="28"/>
        </w:rPr>
        <w:t>· 某加密货币CEO认为比特币的四年周期规律依然有效</w:t>
      </w:r>
    </w:p>
    <w:p>
      <w:pPr>
        <w:spacing w:before="0" w:after="0" w:line="240" w:lineRule="auto"/>
        <w:ind w:left="0" w:right="0" w:firstLine="0"/>
        <w:jc w:val="both"/>
      </w:pPr>
      <w:r>
        <w:rPr>
          <w:rFonts w:ascii="Times New Roman" w:hAnsi="Times New Roman" w:cs="Times New Roman" w:eastAsia="仿宋"/>
          <w:b w:val="0"/>
          <w:sz w:val="28"/>
        </w:rPr>
        <w:t>· 预测减半后市场将进入新一轮上升阶段</w:t>
      </w:r>
    </w:p>
    <w:p>
      <w:pPr>
        <w:pStyle w:val="正文内容"/>
        <w:spacing w:before="0" w:after="0" w:line="240" w:lineRule="auto"/>
        <w:ind w:left="0" w:right="0" w:firstLine="560"/>
        <w:jc w:val="both"/>
      </w:pPr>
      <w:r>
        <w:rPr>
          <w:rFonts w:ascii="Times New Roman" w:hAnsi="Times New Roman" w:cs="Times New Roman" w:eastAsia="仿宋"/>
          <w:b w:val="0"/>
          <w:sz w:val="28"/>
        </w:rPr>
        <w:t>Bitget首席执行官指出，比特币的四年周期（即减半周期）仍在有效运行，尽管当前市场波动加剧，但长期趋势未变。</w:t>
      </w:r>
    </w:p>
    <w:p>
      <w:pPr>
        <w:pStyle w:val="正文内容"/>
        <w:spacing w:before="0" w:after="0" w:line="240" w:lineRule="auto"/>
        <w:ind w:left="0" w:right="0" w:firstLine="560"/>
        <w:jc w:val="both"/>
      </w:pPr>
      <w:r>
        <w:rPr>
          <w:rFonts w:ascii="Times New Roman" w:hAnsi="Times New Roman" w:cs="Times New Roman" w:eastAsia="仿宋"/>
          <w:b w:val="0"/>
          <w:sz w:val="28"/>
        </w:rPr>
        <w:t>Bitget首席执行官Gracy Chen在接受采访时表示，比特币的价格走势依然遵循其固有的四年周期模式，该模式与比特币减半事件（Halving）密切相关。Chen认为，2024年减半后的积累阶段正在向扩张阶段过渡。</w:t>
      </w:r>
    </w:p>
    <w:p>
      <w:pPr>
        <w:pStyle w:val="正文内容"/>
        <w:spacing w:before="0" w:after="0" w:line="240" w:lineRule="auto"/>
        <w:ind w:left="0" w:right="0" w:firstLine="560"/>
        <w:jc w:val="both"/>
      </w:pPr>
      <w:r>
        <w:rPr>
          <w:rFonts w:ascii="Times New Roman" w:hAnsi="Times New Roman" w:cs="Times New Roman" w:eastAsia="仿宋"/>
          <w:b w:val="0"/>
          <w:sz w:val="28"/>
        </w:rPr>
        <w:t>Chen指出，当前市场面临的外部冲击，如地缘政治和宏观经济压力，只会短期干扰周期节奏，但不会改变根本方向。她建议投资者关注减半后的历史表现，并保持长期视角。</w:t>
      </w:r>
    </w:p>
    <w:p>
      <w:pPr>
        <w:pStyle w:val="正文内容"/>
        <w:spacing w:before="0" w:after="0" w:line="240" w:lineRule="auto"/>
        <w:ind w:left="0" w:right="0" w:firstLine="560"/>
        <w:jc w:val="both"/>
      </w:pPr>
      <w:r>
        <w:rPr>
          <w:rFonts w:ascii="Times New Roman" w:hAnsi="Times New Roman" w:cs="Times New Roman" w:eastAsia="仿宋"/>
          <w:b w:val="0"/>
          <w:sz w:val="28"/>
        </w:rPr>
        <w:t>然而，其他分析师对周期理论的有效性存在争议，认为随着机构参与度增加，市场结构可能发生变化。</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（信息来源：Bitget）</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原文标题：Bitcoin's 4-Year Rhythm Is Still Playing Out， Says Crypto CEO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w:t>
      </w:r>
    </w:p>
    <w:p/>
    <w:p>
      <w:pPr>
        <w:pStyle w:val="文章一级标题"/>
        <w:spacing w:before="0" w:after="0" w:line="240" w:lineRule="auto"/>
        <w:ind w:left="0" w:right="0" w:firstLine="0"/>
        <w:jc w:val="center"/>
      </w:pPr>
      <w:r>
        <w:rPr>
          <w:rFonts w:ascii="Times New Roman" w:hAnsi="Times New Roman" w:cs="Times New Roman" w:eastAsia="黑体"/>
          <w:b w:val="0"/>
          <w:sz w:val="30"/>
        </w:rPr>
        <w:t>基金经理警告比特币可能进一步下跌1500亿美元国债操作即将到来</w:t>
      </w:r>
    </w:p>
    <w:p>
      <w:pPr>
        <w:spacing w:before="0" w:after="0" w:line="240" w:lineRule="auto"/>
        <w:ind w:left="0" w:right="0" w:firstLine="0"/>
        <w:jc w:val="both"/>
      </w:pPr>
      <w:r>
        <w:rPr>
          <w:rFonts w:ascii="Times New Roman" w:hAnsi="Times New Roman" w:cs="Times New Roman" w:eastAsia="仿宋"/>
          <w:b w:val="0"/>
          <w:sz w:val="28"/>
        </w:rPr>
        <w:t>· 一位基金经理警告比特币抛售可能加剧</w:t>
      </w:r>
    </w:p>
    <w:p>
      <w:pPr>
        <w:spacing w:before="0" w:after="0" w:line="240" w:lineRule="auto"/>
        <w:ind w:left="0" w:right="0" w:firstLine="0"/>
        <w:jc w:val="both"/>
      </w:pPr>
      <w:r>
        <w:rPr>
          <w:rFonts w:ascii="Times New Roman" w:hAnsi="Times New Roman" w:cs="Times New Roman" w:eastAsia="仿宋"/>
          <w:b w:val="0"/>
          <w:sz w:val="28"/>
        </w:rPr>
        <w:t>· 美国国债市场即将抽取约1500亿美元流动性</w:t>
      </w:r>
    </w:p>
    <w:p>
      <w:pPr>
        <w:pStyle w:val="正文内容"/>
        <w:spacing w:before="0" w:after="0" w:line="240" w:lineRule="auto"/>
        <w:ind w:left="0" w:right="0" w:firstLine="560"/>
        <w:jc w:val="both"/>
      </w:pPr>
      <w:r>
        <w:rPr>
          <w:rFonts w:ascii="Times New Roman" w:hAnsi="Times New Roman" w:cs="Times New Roman" w:eastAsia="仿宋"/>
          <w:b w:val="0"/>
          <w:sz w:val="28"/>
        </w:rPr>
        <w:t>一位未具名的对冲基金经理发出警告，称随着美国财政部即将进行约1500亿美元的国债发行操作，市场流动性可能被大幅抽走，比特币面临进一步下行风险。</w:t>
      </w:r>
    </w:p>
    <w:p>
      <w:pPr>
        <w:pStyle w:val="正文内容"/>
        <w:spacing w:before="0" w:after="0" w:line="240" w:lineRule="auto"/>
        <w:ind w:left="0" w:right="0" w:firstLine="560"/>
        <w:jc w:val="both"/>
      </w:pPr>
      <w:r>
        <w:rPr>
          <w:rFonts w:ascii="Times New Roman" w:hAnsi="Times New Roman" w:cs="Times New Roman" w:eastAsia="仿宋"/>
          <w:b w:val="0"/>
          <w:sz w:val="28"/>
        </w:rPr>
        <w:t>该基金经理表示，比特币自2026年5月以来的下跌尚未结束，即将到来的美国国债发行将从金融体系中抽走约1500亿美元流动性，对包括加密货币在内的风险资产构成压力。</w:t>
      </w:r>
    </w:p>
    <w:p>
      <w:pPr>
        <w:pStyle w:val="正文内容"/>
        <w:spacing w:before="0" w:after="0" w:line="240" w:lineRule="auto"/>
        <w:ind w:left="0" w:right="0" w:firstLine="560"/>
        <w:jc w:val="both"/>
      </w:pPr>
      <w:r>
        <w:rPr>
          <w:rFonts w:ascii="Times New Roman" w:hAnsi="Times New Roman" w:cs="Times New Roman" w:eastAsia="仿宋"/>
          <w:b w:val="0"/>
          <w:sz w:val="28"/>
        </w:rPr>
        <w:t>他指出，比特币目前与科技股关联性较高，而国债收益率上升可能促使资金从风险资产转向固定收益。此外，比特币ETF的持续流出也反映了机构投资者的避险情绪。</w:t>
      </w:r>
    </w:p>
    <w:p>
      <w:pPr>
        <w:pStyle w:val="正文内容"/>
        <w:spacing w:before="0" w:after="0" w:line="240" w:lineRule="auto"/>
        <w:ind w:left="0" w:right="0" w:firstLine="560"/>
        <w:jc w:val="both"/>
      </w:pPr>
      <w:r>
        <w:rPr>
          <w:rFonts w:ascii="Times New Roman" w:hAnsi="Times New Roman" w:cs="Times New Roman" w:eastAsia="仿宋"/>
          <w:b w:val="0"/>
          <w:sz w:val="28"/>
        </w:rPr>
        <w:t>该经理预测，如果比特币跌破70，000美元的心理关口，可能触发更多的止损抛售。不过，他也承认长期看涨结构仍然存在。</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could be heading much lower， fund manager warns as $150 billion Treasury operation nears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代币化现实世界资产市场突破510亿美元Bernstein报告指出</w:t>
      </w:r>
    </w:p>
    <w:p>
      <w:pPr>
        <w:spacing w:before="0" w:after="0" w:line="240" w:lineRule="auto"/>
        <w:ind w:left="0" w:right="0" w:firstLine="0"/>
        <w:jc w:val="both"/>
      </w:pPr>
      <w:r>
        <w:rPr>
          <w:rFonts w:ascii="Times New Roman" w:hAnsi="Times New Roman" w:cs="Times New Roman" w:eastAsia="仿宋"/>
          <w:b w:val="0"/>
          <w:sz w:val="28"/>
        </w:rPr>
        <w:t>· 代币化现实世界资产（RWA）市场总值已超过510亿美元</w:t>
      </w:r>
    </w:p>
    <w:p>
      <w:pPr>
        <w:spacing w:before="0" w:after="0" w:line="240" w:lineRule="auto"/>
        <w:ind w:left="0" w:right="0" w:firstLine="0"/>
        <w:jc w:val="both"/>
      </w:pPr>
      <w:r>
        <w:rPr>
          <w:rFonts w:ascii="Times New Roman" w:hAnsi="Times New Roman" w:cs="Times New Roman" w:eastAsia="仿宋"/>
          <w:b w:val="0"/>
          <w:sz w:val="28"/>
        </w:rPr>
        <w:t>· Bernstein预计该市场将在2028年前达到万亿美元规模</w:t>
      </w:r>
    </w:p>
    <w:p>
      <w:pPr>
        <w:pStyle w:val="正文内容"/>
        <w:spacing w:before="0" w:after="0" w:line="240" w:lineRule="auto"/>
        <w:ind w:left="0" w:right="0" w:firstLine="560"/>
        <w:jc w:val="both"/>
      </w:pPr>
      <w:r>
        <w:rPr>
          <w:rFonts w:ascii="Times New Roman" w:hAnsi="Times New Roman" w:cs="Times New Roman" w:eastAsia="仿宋"/>
          <w:b w:val="0"/>
          <w:sz w:val="28"/>
        </w:rPr>
        <w:t>投行Bernstein最新研究报告显示，代币化现实世界资产（RWA，Real-World Assets）市场总价值已突破510亿美元，并预测该领域将成为加密行业下一个增长引擎。</w:t>
      </w:r>
    </w:p>
    <w:p>
      <w:pPr>
        <w:pStyle w:val="正文内容"/>
        <w:spacing w:before="0" w:after="0" w:line="240" w:lineRule="auto"/>
        <w:ind w:left="0" w:right="0" w:firstLine="560"/>
        <w:jc w:val="both"/>
      </w:pPr>
      <w:r>
        <w:rPr>
          <w:rFonts w:ascii="Times New Roman" w:hAnsi="Times New Roman" w:cs="Times New Roman" w:eastAsia="仿宋"/>
          <w:b w:val="0"/>
          <w:sz w:val="28"/>
        </w:rPr>
        <w:t>Bernstein分析师在报告中指出，代币化RWA市场（包括国债、房地产、私募信贷等）的总锁仓价值（TVL，Total Value Locked）已从2025年初的约200亿美元增长至510亿美元以上。其中，代币化美国国债产品增长最快，贡献了超过300亿美元。</w:t>
      </w:r>
    </w:p>
    <w:p>
      <w:pPr>
        <w:pStyle w:val="正文内容"/>
        <w:spacing w:before="0" w:after="0" w:line="240" w:lineRule="auto"/>
        <w:ind w:left="0" w:right="0" w:firstLine="560"/>
        <w:jc w:val="both"/>
      </w:pPr>
      <w:r>
        <w:rPr>
          <w:rFonts w:ascii="Times New Roman" w:hAnsi="Times New Roman" w:cs="Times New Roman" w:eastAsia="仿宋"/>
          <w:b w:val="0"/>
          <w:sz w:val="28"/>
        </w:rPr>
        <w:t>报告认为，推动增长的主要动力包括传统金融机构的参与、监管清晰度提升（如GENIUS法案）以及区块链基础设施的成熟。Bernstein预测，到2028年，代币化RWA市场规模可能达到1万亿美元。</w:t>
      </w:r>
    </w:p>
    <w:p>
      <w:pPr>
        <w:pStyle w:val="正文内容"/>
        <w:spacing w:before="0" w:after="0" w:line="240" w:lineRule="auto"/>
        <w:ind w:left="0" w:right="0" w:firstLine="560"/>
        <w:jc w:val="both"/>
      </w:pPr>
      <w:r>
        <w:rPr>
          <w:rFonts w:ascii="Times New Roman" w:hAnsi="Times New Roman" w:cs="Times New Roman" w:eastAsia="仿宋"/>
          <w:b w:val="0"/>
          <w:sz w:val="28"/>
        </w:rPr>
        <w:t>然而，报告也警告了潜在风险，包括资产定价透明度不足、流动性碎片化以及智能合约漏洞。Bernstein建议投资者关注那些具有真实收益和合规框架的项目。</w:t>
      </w:r>
    </w:p>
    <w:p>
      <w:pPr>
        <w:pStyle w:val="正文内容"/>
        <w:spacing w:before="0" w:after="0" w:line="240" w:lineRule="auto"/>
        <w:ind w:left="0" w:right="0" w:firstLine="560"/>
        <w:jc w:val="both"/>
      </w:pPr>
      <w:r>
        <w:rPr>
          <w:rFonts w:ascii="Times New Roman" w:hAnsi="Times New Roman" w:cs="Times New Roman" w:eastAsia="仿宋"/>
          <w:b w:val="0"/>
          <w:sz w:val="28"/>
        </w:rPr>
        <w:t>此外，代币化RWA正吸引更多传统资产管理公司进入，例如贝莱德（BlackRock）和富达（Fidelity）已推出相关产品。同时，公链如以太坊（Ethereum）、Solana和Stellar正在成为此类资产的主要托管网络。</w:t>
      </w:r>
    </w:p>
    <w:p>
      <w:pPr>
        <w:pStyle w:val="正文内容"/>
        <w:spacing w:before="0" w:after="0" w:line="240" w:lineRule="auto"/>
        <w:ind w:left="0" w:right="0" w:firstLine="560"/>
        <w:jc w:val="both"/>
      </w:pPr>
      <w:r>
        <w:rPr>
          <w:rFonts w:ascii="Times New Roman" w:hAnsi="Times New Roman" w:cs="Times New Roman" w:eastAsia="仿宋"/>
          <w:b w:val="0"/>
          <w:sz w:val="28"/>
        </w:rPr>
        <w:t>分析师强调，代币化RWA的长期成功取决于跨链互操作性和标准化协议的建立。</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（信息来源：Cryptonews.net）</w:t>
      </w:r>
    </w:p>
    <w:p>
      <w:pPr>
        <w:pStyle w:val="原文信息"/>
        <w:spacing w:before="0" w:after="0" w:line="240" w:lineRule="auto"/>
        <w:ind w:left="0" w:right="0" w:firstLine="0"/>
        <w:jc w:val="left"/>
      </w:pPr>
      <w:r>
        <w:rPr>
          <w:rFonts w:ascii="Times New Roman" w:hAnsi="Times New Roman" w:cs="Times New Roman" w:eastAsia="仿宋"/>
          <w:b w:val="0"/>
          <w:sz w:val="18"/>
        </w:rPr>
        <w:t>原文标题：Tokenized Real-World Asset Market Surpasses $51 Billion， Bernstein Reports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原文链接：https：//news.google.com/rss/articles/CBMiXEFVX3lxTFBUd0FTblVqNnREaDNiM2tFQ1NoSHRnV2h2VjU0MlctOUZlT3FiZVdQWmdpUjVqWWFoQlBqdzZVLUxVWlNPcDJqLUk5YmJ1X09LNktWU3BkSURydHJt</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16:09 至 2026-05-28 16:09（北京时间，最近3天）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