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360" w:lineRule="auto"/>
        <w:jc w:val="center"/>
      </w:pPr>
      <w:r>
        <w:rPr>
          <w:rFonts w:ascii="Times New Roman" w:hAnsi="Times New Roman" w:eastAsia="黑体"/>
          <w:b/>
          <w:sz w:val="32"/>
        </w:rPr>
        <w:t>目  录</w:t>
      </w:r>
    </w:p>
    <w:p>
      <w:pPr>
        <w:spacing w:before="160" w:after="80" w:line="360" w:lineRule="auto"/>
      </w:pPr>
      <w:r>
        <w:rPr>
          <w:rFonts w:ascii="Times New Roman" w:hAnsi="Times New Roman" w:eastAsia="黑体"/>
          <w:b/>
          <w:sz w:val="24"/>
        </w:rPr>
        <w:t>【政策风向】</w:t>
      </w:r>
    </w:p>
    <w:p>
      <w:pPr>
        <w:spacing w:before="0" w:after="40" w:line="360" w:lineRule="auto"/>
      </w:pPr>
      <w:r>
        <w:rPr>
          <w:rFonts w:ascii="Times New Roman" w:hAnsi="Times New Roman" w:eastAsia="宋体"/>
          <w:b w:val="0"/>
          <w:sz w:val="22"/>
        </w:rPr>
        <w:t>· 美国两党联合提出数字资产税收法案</w:t>
      </w:r>
    </w:p>
    <w:p>
      <w:pPr>
        <w:spacing w:before="0" w:after="40" w:line="360" w:lineRule="auto"/>
      </w:pPr>
      <w:r>
        <w:rPr>
          <w:rFonts w:ascii="Times New Roman" w:hAnsi="Times New Roman" w:eastAsia="宋体"/>
          <w:b w:val="0"/>
          <w:sz w:val="22"/>
        </w:rPr>
        <w:t>· 香港发布数字资产咨询与管理牌照框架</w:t>
      </w:r>
    </w:p>
    <w:p>
      <w:pPr>
        <w:spacing w:before="0" w:after="40" w:line="360" w:lineRule="auto"/>
      </w:pPr>
      <w:r>
        <w:rPr>
          <w:rFonts w:ascii="Times New Roman" w:hAnsi="Times New Roman" w:eastAsia="宋体"/>
          <w:b w:val="0"/>
          <w:sz w:val="22"/>
        </w:rPr>
        <w:t>· 英国制裁HTX加密交易所及卢布稳定币发行商</w:t>
      </w:r>
    </w:p>
    <w:p>
      <w:pPr>
        <w:spacing w:before="160" w:after="80" w:line="360" w:lineRule="auto"/>
      </w:pPr>
      <w:r>
        <w:rPr>
          <w:rFonts w:ascii="Times New Roman" w:hAnsi="Times New Roman" w:eastAsia="黑体"/>
          <w:b/>
          <w:sz w:val="24"/>
        </w:rPr>
        <w:t>【行业前沿】</w:t>
      </w:r>
    </w:p>
    <w:p>
      <w:pPr>
        <w:spacing w:before="0" w:after="40" w:line="360" w:lineRule="auto"/>
      </w:pPr>
      <w:r>
        <w:rPr>
          <w:rFonts w:ascii="Times New Roman" w:hAnsi="Times New Roman" w:eastAsia="宋体"/>
          <w:b w:val="0"/>
          <w:sz w:val="22"/>
        </w:rPr>
        <w:t>· Coinbase孵化Base链推出MCP网关连接AI代理</w:t>
      </w:r>
    </w:p>
    <w:p>
      <w:pPr>
        <w:spacing w:before="0" w:after="40" w:line="360" w:lineRule="auto"/>
      </w:pPr>
      <w:r>
        <w:rPr>
          <w:rFonts w:ascii="Times New Roman" w:hAnsi="Times New Roman" w:eastAsia="宋体"/>
          <w:b w:val="0"/>
          <w:sz w:val="22"/>
        </w:rPr>
        <w:t>· Bitget推出Reality平台实现代币化股票与稳定币分红</w:t>
      </w:r>
    </w:p>
    <w:p>
      <w:pPr>
        <w:spacing w:before="160" w:after="80" w:line="360" w:lineRule="auto"/>
      </w:pPr>
      <w:r>
        <w:rPr>
          <w:rFonts w:ascii="Times New Roman" w:hAnsi="Times New Roman" w:eastAsia="黑体"/>
          <w:b/>
          <w:sz w:val="24"/>
        </w:rPr>
        <w:t>【市场动态】</w:t>
      </w:r>
    </w:p>
    <w:p>
      <w:pPr>
        <w:spacing w:before="0" w:after="40" w:line="360" w:lineRule="auto"/>
      </w:pPr>
      <w:r>
        <w:rPr>
          <w:rFonts w:ascii="Times New Roman" w:hAnsi="Times New Roman" w:eastAsia="宋体"/>
          <w:b w:val="0"/>
          <w:sz w:val="22"/>
        </w:rPr>
        <w:t>· 比特币ETF流出10亿美元资金转向HYPE、SOL与XRP</w:t>
      </w:r>
    </w:p>
    <w:p>
      <w:pPr>
        <w:spacing w:before="0" w:after="40" w:line="360" w:lineRule="auto"/>
      </w:pPr>
      <w:r>
        <w:rPr>
          <w:rFonts w:ascii="Times New Roman" w:hAnsi="Times New Roman" w:eastAsia="宋体"/>
          <w:b w:val="0"/>
          <w:sz w:val="22"/>
        </w:rPr>
        <w:t>· XRPETF资产管理规模突破14亿美元比特币基金持续流出</w:t>
      </w:r>
    </w:p>
    <w:p>
      <w:pPr>
        <w:spacing w:before="160" w:after="80" w:line="360" w:lineRule="auto"/>
      </w:pPr>
      <w:r>
        <w:rPr>
          <w:rFonts w:ascii="Times New Roman" w:hAnsi="Times New Roman" w:eastAsia="黑体"/>
          <w:b/>
          <w:sz w:val="24"/>
        </w:rPr>
        <w:t>【意见领袖】</w:t>
      </w:r>
    </w:p>
    <w:p>
      <w:pPr>
        <w:spacing w:before="0" w:after="40" w:line="360" w:lineRule="auto"/>
      </w:pPr>
      <w:r>
        <w:rPr>
          <w:rFonts w:ascii="Times New Roman" w:hAnsi="Times New Roman" w:eastAsia="宋体"/>
          <w:b w:val="0"/>
          <w:sz w:val="22"/>
        </w:rPr>
        <w:t>· CathieWood预测机构正趁比特币下跌买入</w:t>
      </w:r>
    </w:p>
    <w:p>
      <w:pPr>
        <w:spacing w:before="0" w:after="40" w:line="360" w:lineRule="auto"/>
      </w:pPr>
      <w:r>
        <w:rPr>
          <w:rFonts w:ascii="Times New Roman" w:hAnsi="Times New Roman" w:eastAsia="宋体"/>
          <w:b w:val="0"/>
          <w:sz w:val="22"/>
        </w:rPr>
        <w:t>· ArthurHayes称监管无关紧要只有法币流动性推动比特币</w:t>
      </w:r>
    </w:p>
    <w:p>
      <w:pPr>
        <w:spacing w:before="160" w:after="80" w:line="360" w:lineRule="auto"/>
      </w:pPr>
      <w:r>
        <w:rPr>
          <w:rFonts w:ascii="Times New Roman" w:hAnsi="Times New Roman" w:eastAsia="黑体"/>
          <w:b/>
          <w:sz w:val="24"/>
        </w:rPr>
        <w:t>【专题研究】</w:t>
      </w:r>
    </w:p>
    <w:p>
      <w:pPr>
        <w:spacing w:before="0" w:after="40" w:line="360" w:lineRule="auto"/>
      </w:pPr>
      <w:r>
        <w:rPr>
          <w:rFonts w:ascii="Times New Roman" w:hAnsi="Times New Roman" w:eastAsia="宋体"/>
          <w:b w:val="0"/>
          <w:sz w:val="22"/>
        </w:rPr>
        <w:t>· 代币化真实世界资产市场超510亿美元Bernstein报告揭示增长趋势</w:t>
      </w:r>
    </w:p>
    <w:p>
      <w:r>
        <w:br w:type="page"/>
      </w:r>
    </w:p>
    <w:p>
      <w:pPr>
        <w:spacing w:before="0" w:after="240" w:line="360" w:lineRule="auto"/>
      </w:pPr>
      <w:r>
        <w:rPr>
          <w:rFonts w:ascii="Times New Roman" w:hAnsi="Times New Roman" w:eastAsia="黑体"/>
          <w:b/>
          <w:sz w:val="32"/>
        </w:rPr>
        <w:t>【政策风向】</w:t>
      </w:r>
    </w:p>
    <w:p>
      <w:pPr>
        <w:spacing w:before="80" w:after="160" w:line="360" w:lineRule="auto"/>
      </w:pPr>
      <w:r>
        <w:rPr>
          <w:rFonts w:ascii="Times New Roman" w:hAnsi="Times New Roman" w:eastAsia="黑体"/>
          <w:b/>
          <w:sz w:val="28"/>
        </w:rPr>
        <w:t>美国两党联合提出数字资产税收法案</w:t>
      </w:r>
    </w:p>
    <w:p>
      <w:pPr>
        <w:spacing w:before="0" w:after="40" w:line="360" w:lineRule="auto"/>
      </w:pPr>
      <w:r>
        <w:rPr>
          <w:rFonts w:ascii="Times New Roman" w:hAnsi="Times New Roman" w:eastAsia="宋体"/>
          <w:b w:val="0"/>
          <w:sz w:val="22"/>
        </w:rPr>
        <w:t>· 美国国会两党联合提出一项数字资产税收法案，旨在明确加密资产的税务处理。</w:t>
      </w:r>
    </w:p>
    <w:p>
      <w:pPr>
        <w:spacing w:before="0" w:after="40" w:line="360" w:lineRule="auto"/>
      </w:pPr>
      <w:r>
        <w:rPr>
          <w:rFonts w:ascii="Times New Roman" w:hAnsi="Times New Roman" w:eastAsia="宋体"/>
          <w:b w:val="0"/>
          <w:sz w:val="22"/>
        </w:rPr>
        <w:t>· 法案可能涉及数字资产的分类、持有期及交易报告要求。</w:t>
      </w:r>
    </w:p>
    <w:p/>
    <w:p>
      <w:pPr>
        <w:spacing w:before="0" w:after="120" w:line="360" w:lineRule="auto"/>
        <w:ind w:firstLine="480"/>
      </w:pPr>
      <w:r>
        <w:rPr>
          <w:rFonts w:ascii="Times New Roman" w:hAnsi="Times New Roman" w:eastAsia="宋体"/>
          <w:b w:val="0"/>
          <w:sz w:val="24"/>
        </w:rPr>
        <w:t>美国国会两党议员联合提出一项数字资产税收法案，标志着美国在加密监管方面迈出重要一步。</w:t>
      </w:r>
    </w:p>
    <w:p>
      <w:pPr>
        <w:spacing w:before="0" w:after="120" w:line="360" w:lineRule="auto"/>
        <w:ind w:firstLine="480"/>
      </w:pPr>
      <w:r>
        <w:rPr>
          <w:rFonts w:ascii="Times New Roman" w:hAnsi="Times New Roman" w:eastAsia="宋体"/>
          <w:b w:val="0"/>
          <w:sz w:val="24"/>
        </w:rPr>
        <w:t>据Grant Thornton报道，美国国会两党议员联合提出了一项数字资产税收法案，旨在为加密资产的税务处理提供明确框架。该法案是近年来美国在数字资产领域最具体的立法尝试之一。</w:t>
      </w:r>
    </w:p>
    <w:p>
      <w:pPr>
        <w:spacing w:before="0" w:after="120" w:line="360" w:lineRule="auto"/>
        <w:ind w:firstLine="480"/>
      </w:pPr>
      <w:r>
        <w:rPr>
          <w:rFonts w:ascii="Times New Roman" w:hAnsi="Times New Roman" w:eastAsia="宋体"/>
          <w:b w:val="0"/>
          <w:sz w:val="24"/>
        </w:rPr>
        <w:t>法案内容预计将涉及数字资产的分类标准、持有期计算以及交易报告义务，可能对投资者和交易所产生深远影响。目前，美国国税局（Internal Revenue Service，IRS）对加密货币的税务指引仍不完整，该法案有望填补法律空白。</w:t>
      </w:r>
    </w:p>
    <w:p>
      <w:pPr>
        <w:spacing w:before="0" w:after="120" w:line="360" w:lineRule="auto"/>
        <w:ind w:firstLine="480"/>
      </w:pPr>
      <w:r>
        <w:rPr>
          <w:rFonts w:ascii="Times New Roman" w:hAnsi="Times New Roman" w:eastAsia="宋体"/>
          <w:b w:val="0"/>
          <w:sz w:val="24"/>
        </w:rPr>
        <w:t>此外，同一立法包中还包括一项关于汽油税减免的条款，但该条款进展缓慢。数字资产税收法案的提出反映了美国立法者希望将加密经济纳入现有税收体系的意愿。</w:t>
      </w:r>
    </w:p>
    <w:p>
      <w:pPr>
        <w:spacing w:before="0" w:after="40" w:line="360" w:lineRule="auto"/>
        <w:jc w:val="right"/>
      </w:pPr>
      <w:r>
        <w:rPr>
          <w:rFonts w:ascii="Times New Roman" w:hAnsi="Times New Roman" w:eastAsia="宋体"/>
          <w:b w:val="0"/>
          <w:sz w:val="21"/>
        </w:rPr>
        <w:t>（信息来源：Grant Thornton）</w:t>
      </w:r>
    </w:p>
    <w:p>
      <w:pPr>
        <w:spacing w:before="0" w:after="20" w:line="360" w:lineRule="auto"/>
      </w:pPr>
      <w:r>
        <w:rPr>
          <w:rFonts w:ascii="Times New Roman" w:hAnsi="Times New Roman" w:eastAsia="宋体"/>
          <w:b w:val="0"/>
          <w:sz w:val="18"/>
        </w:rPr>
        <w:t>原文标题：Bipartisan digital asset tax bill introed, gas tax holiday sputters</w:t>
      </w:r>
    </w:p>
    <w:p>
      <w:pPr>
        <w:spacing w:before="0" w:after="200" w:line="360" w:lineRule="auto"/>
      </w:pPr>
      <w:r>
        <w:rPr>
          <w:rFonts w:ascii="Times New Roman" w:hAnsi="Times New Roman" w:eastAsia="宋体"/>
          <w:b w:val="0"/>
          <w:sz w:val="18"/>
        </w:rPr>
        <w:t>原文链接：https://news.google.com/rss/articles/CBMi3AFBVV95cUxOSl9Tc21nYW9RUDhfYkMzU0U1dUJfZmYxRE54UW14SlVaZExFNTVGZWlVX1NCZ0lNV3JMNnRyUXlLaE40a1c1VmZrRThzdGN5b1VzTGh4MHVLVUVuWFhvbTAzSzJaaHZjUVBfalhpSnAyaWctX0cwWHVBdXdYbHBMX0lSTURQYXA2a1N6RTJPY0pHdkQ3Y3o3d3laV01JYkgtRk9qQUxnYTZ0Nldvdk54aDRoMnRDcnpPeThNaVlpMjBuQkliMXlidnpNOEtSOTRtMzc0UjJKNHBYeFZ6</w:t>
      </w:r>
    </w:p>
    <w:p/>
    <w:p>
      <w:pPr>
        <w:spacing w:before="80" w:after="160" w:line="360" w:lineRule="auto"/>
      </w:pPr>
      <w:r>
        <w:rPr>
          <w:rFonts w:ascii="Times New Roman" w:hAnsi="Times New Roman" w:eastAsia="黑体"/>
          <w:b/>
          <w:sz w:val="28"/>
        </w:rPr>
        <w:t>香港发布数字资产咨询与管理牌照框架</w:t>
      </w:r>
    </w:p>
    <w:p>
      <w:pPr>
        <w:spacing w:before="0" w:after="40" w:line="360" w:lineRule="auto"/>
      </w:pPr>
      <w:r>
        <w:rPr>
          <w:rFonts w:ascii="Times New Roman" w:hAnsi="Times New Roman" w:eastAsia="宋体"/>
          <w:b w:val="0"/>
          <w:sz w:val="22"/>
        </w:rPr>
        <w:t>· 香港证券及期货事务监察委员会（Securities and Futures Commission，SFC）发布数字资产咨询及管理服务牌照框架。</w:t>
      </w:r>
    </w:p>
    <w:p>
      <w:pPr>
        <w:spacing w:before="0" w:after="40" w:line="360" w:lineRule="auto"/>
      </w:pPr>
      <w:r>
        <w:rPr>
          <w:rFonts w:ascii="Times New Roman" w:hAnsi="Times New Roman" w:eastAsia="宋体"/>
          <w:b w:val="0"/>
          <w:sz w:val="22"/>
        </w:rPr>
        <w:t>· 新框架要求持牌机构遵守资本、托管及披露要求。</w:t>
      </w:r>
    </w:p>
    <w:p/>
    <w:p>
      <w:pPr>
        <w:spacing w:before="0" w:after="120" w:line="360" w:lineRule="auto"/>
        <w:ind w:firstLine="480"/>
      </w:pPr>
      <w:r>
        <w:rPr>
          <w:rFonts w:ascii="Times New Roman" w:hAnsi="Times New Roman" w:eastAsia="宋体"/>
          <w:b w:val="0"/>
          <w:sz w:val="24"/>
        </w:rPr>
        <w:t>香港金融监管机构公布数字资产咨询及管理牌照框架，向制度化监管迈出关键一步。</w:t>
      </w:r>
    </w:p>
    <w:p>
      <w:pPr>
        <w:spacing w:before="0" w:after="120" w:line="360" w:lineRule="auto"/>
        <w:ind w:firstLine="480"/>
      </w:pPr>
      <w:r>
        <w:rPr>
          <w:rFonts w:ascii="Times New Roman" w:hAnsi="Times New Roman" w:eastAsia="宋体"/>
          <w:b w:val="0"/>
          <w:sz w:val="24"/>
        </w:rPr>
        <w:t>香港证券及期货事务监察委员会（SFC）发布面向数字资产咨询及管理服务的牌照框架，为在该地区提供相关服务的机构明确了合规路径。这是香港继虚拟资产交易平台发牌制度后，在数字资产领域的又一重要监管举措。</w:t>
      </w:r>
    </w:p>
    <w:p>
      <w:pPr>
        <w:spacing w:before="0" w:after="120" w:line="360" w:lineRule="auto"/>
        <w:ind w:firstLine="480"/>
      </w:pPr>
      <w:r>
        <w:rPr>
          <w:rFonts w:ascii="Times New Roman" w:hAnsi="Times New Roman" w:eastAsia="宋体"/>
          <w:b w:val="0"/>
          <w:sz w:val="24"/>
        </w:rPr>
        <w:t>根据新框架，持牌机构须满足最低资本要求、妥善保管客户资产，并定期向监管机构披露信息。该框架旨在平衡创新与投资者保护，推动香港成为全球数字资产枢纽。</w:t>
      </w:r>
    </w:p>
    <w:p>
      <w:pPr>
        <w:spacing w:before="0" w:after="120" w:line="360" w:lineRule="auto"/>
        <w:ind w:firstLine="480"/>
      </w:pPr>
      <w:r>
        <w:rPr>
          <w:rFonts w:ascii="Times New Roman" w:hAnsi="Times New Roman" w:eastAsia="宋体"/>
          <w:b w:val="0"/>
          <w:sz w:val="24"/>
        </w:rPr>
        <w:t>业内人士认为，这一框架将吸引更多传统金融机构进入数字资产领域，提升香港在国际加密市场中的竞争力。监管机构表示，过渡期后未获牌照的机构将不得继续提供相关服务。</w:t>
      </w:r>
    </w:p>
    <w:p>
      <w:pPr>
        <w:spacing w:before="0" w:after="40" w:line="360" w:lineRule="auto"/>
        <w:jc w:val="right"/>
      </w:pPr>
      <w:r>
        <w:rPr>
          <w:rFonts w:ascii="Times New Roman" w:hAnsi="Times New Roman" w:eastAsia="宋体"/>
          <w:b w:val="0"/>
          <w:sz w:val="21"/>
        </w:rPr>
        <w:t>（信息来源：Crypto Economy）</w:t>
      </w:r>
    </w:p>
    <w:p>
      <w:pPr>
        <w:spacing w:before="0" w:after="20" w:line="360" w:lineRule="auto"/>
      </w:pPr>
      <w:r>
        <w:rPr>
          <w:rFonts w:ascii="Times New Roman" w:hAnsi="Times New Roman" w:eastAsia="宋体"/>
          <w:b w:val="0"/>
          <w:sz w:val="18"/>
        </w:rPr>
        <w:t>原文标题：Hong Kong Sets Framework for Digital Asset Advisory and Management Licensing</w:t>
      </w:r>
    </w:p>
    <w:p>
      <w:pPr>
        <w:spacing w:before="0" w:after="200" w:line="360" w:lineRule="auto"/>
      </w:pPr>
      <w:r>
        <w:rPr>
          <w:rFonts w:ascii="Times New Roman" w:hAnsi="Times New Roman" w:eastAsia="宋体"/>
          <w:b w:val="0"/>
          <w:sz w:val="18"/>
        </w:rPr>
        <w:t>原文链接：https://news.google.com/rss/articles/CBMipwFBVV95cUxNU1dCNThqYW9fTHNhSjRrZXhKdGtYODRFVHpJZzNjeXJZRlNFMDFFdzFoMTdQN3NkZW44ekVjQko3WFBDMUZ6Qzk0WV9VY0lmbEFlYmZ3aVB0RHBRZ2Zud1VDUDNYcWNOUExkNk1GeE9RQi1EWUdLZnJ6VlJGajFDS1YxTDA5VG9GU3Z3RkdGekhEMzZfalpsQzZvbGFEYzhTRTV0OVNpTQ</w:t>
      </w:r>
    </w:p>
    <w:p/>
    <w:p>
      <w:pPr>
        <w:spacing w:before="80" w:after="160" w:line="360" w:lineRule="auto"/>
      </w:pPr>
      <w:r>
        <w:rPr>
          <w:rFonts w:ascii="Times New Roman" w:hAnsi="Times New Roman" w:eastAsia="黑体"/>
          <w:b/>
          <w:sz w:val="28"/>
        </w:rPr>
        <w:t>英国制裁HTX加密交易所及卢布稳定币发行商</w:t>
      </w:r>
    </w:p>
    <w:p>
      <w:pPr>
        <w:spacing w:before="0" w:after="40" w:line="360" w:lineRule="auto"/>
      </w:pPr>
      <w:r>
        <w:rPr>
          <w:rFonts w:ascii="Times New Roman" w:hAnsi="Times New Roman" w:eastAsia="宋体"/>
          <w:b w:val="0"/>
          <w:sz w:val="22"/>
        </w:rPr>
        <w:t>· 英国首次对加密交易所实施银行式制裁，要求金融机构冻结资产并追踪交易。</w:t>
      </w:r>
    </w:p>
    <w:p>
      <w:pPr>
        <w:spacing w:before="0" w:after="40" w:line="360" w:lineRule="auto"/>
      </w:pPr>
      <w:r>
        <w:rPr>
          <w:rFonts w:ascii="Times New Roman" w:hAnsi="Times New Roman" w:eastAsia="宋体"/>
          <w:b w:val="0"/>
          <w:sz w:val="22"/>
        </w:rPr>
        <w:t>· 被制裁对象包括HTX（原Huobi）及一家卢布稳定币发行商，理由是为俄罗斯提供金融支持。</w:t>
      </w:r>
    </w:p>
    <w:p/>
    <w:p>
      <w:pPr>
        <w:spacing w:before="0" w:after="120" w:line="360" w:lineRule="auto"/>
        <w:ind w:firstLine="480"/>
      </w:pPr>
      <w:r>
        <w:rPr>
          <w:rFonts w:ascii="Times New Roman" w:hAnsi="Times New Roman" w:eastAsia="宋体"/>
          <w:b w:val="0"/>
          <w:sz w:val="24"/>
        </w:rPr>
        <w:t>英国政府将HTX交易所及卢布稳定币发行商列入制裁名单，开创对加密平台实施金融限制的先例。</w:t>
      </w:r>
    </w:p>
    <w:p>
      <w:pPr>
        <w:spacing w:before="0" w:after="120" w:line="360" w:lineRule="auto"/>
        <w:ind w:firstLine="480"/>
      </w:pPr>
      <w:r>
        <w:rPr>
          <w:rFonts w:ascii="Times New Roman" w:hAnsi="Times New Roman" w:eastAsia="宋体"/>
          <w:b w:val="0"/>
          <w:sz w:val="24"/>
        </w:rPr>
        <w:t>英国财政部宣布对HTX（原Huobi Global）及一家卢布稳定币发行商实施制裁，指控其协助俄罗斯规避金融限制。这是英国首次对加密交易所采用类似银行的制裁措施，要求英国金融机构冻结相关资产并切断交易。</w:t>
      </w:r>
    </w:p>
    <w:p>
      <w:pPr>
        <w:spacing w:before="0" w:after="120" w:line="360" w:lineRule="auto"/>
        <w:ind w:firstLine="480"/>
      </w:pPr>
      <w:r>
        <w:rPr>
          <w:rFonts w:ascii="Times New Roman" w:hAnsi="Times New Roman" w:eastAsia="宋体"/>
          <w:b w:val="0"/>
          <w:sz w:val="24"/>
        </w:rPr>
        <w:t>制裁文件指出，这些实体通过“暗网和影子金融系统”帮助俄罗斯转移资金，支持其在乌克兰的军事行动。HTX随后发表声明否认指控，称曾拒绝上线卢布稳定币。</w:t>
      </w:r>
    </w:p>
    <w:p>
      <w:pPr>
        <w:spacing w:before="0" w:after="120" w:line="360" w:lineRule="auto"/>
        <w:ind w:firstLine="480"/>
      </w:pPr>
      <w:r>
        <w:rPr>
          <w:rFonts w:ascii="Times New Roman" w:hAnsi="Times New Roman" w:eastAsia="宋体"/>
          <w:b w:val="0"/>
          <w:sz w:val="24"/>
        </w:rPr>
        <w:t>此举标志着全球主要经济体加强对加密行业合规监管的趋势，英国正在成为加密制裁领域的重要执法者。业内分析认为，未来更多交易所可能面临类似审查。</w:t>
      </w:r>
    </w:p>
    <w:p>
      <w:pPr>
        <w:spacing w:before="0" w:after="40" w:line="360" w:lineRule="auto"/>
        <w:jc w:val="right"/>
      </w:pPr>
      <w:r>
        <w:rPr>
          <w:rFonts w:ascii="Times New Roman" w:hAnsi="Times New Roman" w:eastAsia="宋体"/>
          <w:b w:val="0"/>
          <w:sz w:val="21"/>
        </w:rPr>
        <w:t>（信息来源：CoinDesk）</w:t>
      </w:r>
    </w:p>
    <w:p>
      <w:pPr>
        <w:spacing w:before="0" w:after="20" w:line="360" w:lineRule="auto"/>
      </w:pPr>
      <w:r>
        <w:rPr>
          <w:rFonts w:ascii="Times New Roman" w:hAnsi="Times New Roman" w:eastAsia="宋体"/>
          <w:b w:val="0"/>
          <w:sz w:val="18"/>
        </w:rPr>
        <w:t>原文标题：UK sanctions Huobi and ruble stablecoin issuer in crackdown on Russia crypto networks</w:t>
      </w:r>
    </w:p>
    <w:p>
      <w:pPr>
        <w:spacing w:before="0" w:after="200" w:line="360" w:lineRule="auto"/>
      </w:pPr>
      <w:r>
        <w:rPr>
          <w:rFonts w:ascii="Times New Roman" w:hAnsi="Times New Roman" w:eastAsia="宋体"/>
          <w:b w:val="0"/>
          <w:sz w:val="18"/>
        </w:rPr>
        <w:t>原文链接：https://news.google.com/rss/articles/CBMiygFBVV95cUxPZE05TnloZ0ZBbXg0c3lRdTVxaUxaOHpHazRjVXpyWnF5WFVnNjYyODFoaGdQRlBVM3N0ckNJZzFKZjd2aWhTUVdnOFVtcENEZVNCNTdPRWNVNF9fUzN2dTJZRVR1dzNuQ1k0dXVDU3MzVkdkbFM2OUJNdFVOUWZ4NEd0UzJ0MGNmbl9LQldxdVZCS05DYVZVTVhXWkpMb25FUWxHY2xkLWdqeDNHNzZ2cTdHdWh5MlFoOFU3VHZmT2t6OWlDek5jUVJB</w:t>
      </w:r>
    </w:p>
    <w:p>
      <w:pPr>
        <w:sectPr>
          <w:pgSz w:w="12240" w:h="15840"/>
          <w:pgMar w:top="1440" w:right="1803" w:bottom="1440" w:left="1803" w:header="720" w:footer="720" w:gutter="0"/>
          <w:cols w:space="720"/>
          <w:docGrid w:linePitch="360"/>
        </w:sectPr>
      </w:pPr>
    </w:p>
    <w:p>
      <w:pPr>
        <w:spacing w:before="0" w:after="240" w:line="360" w:lineRule="auto"/>
      </w:pPr>
      <w:r>
        <w:rPr>
          <w:rFonts w:ascii="Times New Roman" w:hAnsi="Times New Roman" w:eastAsia="黑体"/>
          <w:b/>
          <w:sz w:val="32"/>
        </w:rPr>
        <w:t>【行业前沿】</w:t>
      </w:r>
    </w:p>
    <w:p>
      <w:pPr>
        <w:spacing w:before="80" w:after="160" w:line="360" w:lineRule="auto"/>
      </w:pPr>
      <w:r>
        <w:rPr>
          <w:rFonts w:ascii="Times New Roman" w:hAnsi="Times New Roman" w:eastAsia="黑体"/>
          <w:b/>
          <w:sz w:val="28"/>
        </w:rPr>
        <w:t>Coinbase孵化Base链推出MCP网关连接AI代理</w:t>
      </w:r>
    </w:p>
    <w:p>
      <w:pPr>
        <w:spacing w:before="0" w:after="40" w:line="360" w:lineRule="auto"/>
      </w:pPr>
      <w:r>
        <w:rPr>
          <w:rFonts w:ascii="Times New Roman" w:hAnsi="Times New Roman" w:eastAsia="宋体"/>
          <w:b w:val="0"/>
          <w:sz w:val="22"/>
        </w:rPr>
        <w:t>· Base区块链推出MCP（Model Context Protocol）网关，允许AI代理执行链上操作。</w:t>
      </w:r>
    </w:p>
    <w:p>
      <w:pPr>
        <w:spacing w:before="0" w:after="40" w:line="360" w:lineRule="auto"/>
      </w:pPr>
      <w:r>
        <w:rPr>
          <w:rFonts w:ascii="Times New Roman" w:hAnsi="Times New Roman" w:eastAsia="宋体"/>
          <w:b w:val="0"/>
          <w:sz w:val="22"/>
        </w:rPr>
        <w:t>· 该工具已集成ChatGPT和Claude，实现代币转账、交换及DeFi交互。</w:t>
      </w:r>
    </w:p>
    <w:p/>
    <w:p>
      <w:pPr>
        <w:spacing w:before="0" w:after="120" w:line="360" w:lineRule="auto"/>
        <w:ind w:firstLine="480"/>
      </w:pPr>
      <w:r>
        <w:rPr>
          <w:rFonts w:ascii="Times New Roman" w:hAnsi="Times New Roman" w:eastAsia="宋体"/>
          <w:b w:val="0"/>
          <w:sz w:val="24"/>
        </w:rPr>
        <w:t>Coinbase旗下Base链发布MCP网关，旨在打通AI代理与加密钱包之间的交互通道。</w:t>
      </w:r>
    </w:p>
    <w:p>
      <w:pPr>
        <w:spacing w:before="0" w:after="120" w:line="360" w:lineRule="auto"/>
        <w:ind w:firstLine="480"/>
      </w:pPr>
      <w:r>
        <w:rPr>
          <w:rFonts w:ascii="Times New Roman" w:hAnsi="Times New Roman" w:eastAsia="宋体"/>
          <w:b w:val="0"/>
          <w:sz w:val="24"/>
        </w:rPr>
        <w:t>Base区块链宣布推出MCP（Model Context Protocol）网关，允许AI代理如ChatGPT和Claude直接管理加密钱包、执行代币转账和去中心化金融（DeFi）协议交互。这是将人工智能与区块链深度融合的重要尝试。</w:t>
      </w:r>
    </w:p>
    <w:p>
      <w:pPr>
        <w:spacing w:before="0" w:after="120" w:line="360" w:lineRule="auto"/>
        <w:ind w:firstLine="480"/>
      </w:pPr>
      <w:r>
        <w:rPr>
          <w:rFonts w:ascii="Times New Roman" w:hAnsi="Times New Roman" w:eastAsia="宋体"/>
          <w:b w:val="0"/>
          <w:sz w:val="24"/>
        </w:rPr>
        <w:t>该网关通过标准化接口让AI能够触发链上操作，例如在Uniswap上进行代币交换或参与借贷协议。Base团队表示，此举旨在降低用户门槛，使非技术人员也能通过自然语言指令进行复杂的链上活动。</w:t>
      </w:r>
    </w:p>
    <w:p>
      <w:pPr>
        <w:spacing w:before="0" w:after="120" w:line="360" w:lineRule="auto"/>
        <w:ind w:firstLine="480"/>
      </w:pPr>
      <w:r>
        <w:rPr>
          <w:rFonts w:ascii="Times New Roman" w:hAnsi="Times New Roman" w:eastAsia="宋体"/>
          <w:b w:val="0"/>
          <w:sz w:val="24"/>
        </w:rPr>
        <w:t>目前该工具已对开发者开放，并已集成多个主流AI平台。分析认为，这标志着加密基础设施开始向AI代理生态开放，可能推动更广泛的链上自动化应用。</w:t>
      </w:r>
    </w:p>
    <w:p>
      <w:pPr>
        <w:spacing w:before="0" w:after="40" w:line="360" w:lineRule="auto"/>
        <w:jc w:val="right"/>
      </w:pPr>
      <w:r>
        <w:rPr>
          <w:rFonts w:ascii="Times New Roman" w:hAnsi="Times New Roman" w:eastAsia="宋体"/>
          <w:b w:val="0"/>
          <w:sz w:val="21"/>
        </w:rPr>
        <w:t>（信息来源：CoinDesk）</w:t>
      </w:r>
    </w:p>
    <w:p>
      <w:pPr>
        <w:spacing w:before="0" w:after="20" w:line="360" w:lineRule="auto"/>
      </w:pPr>
      <w:r>
        <w:rPr>
          <w:rFonts w:ascii="Times New Roman" w:hAnsi="Times New Roman" w:eastAsia="宋体"/>
          <w:b w:val="0"/>
          <w:sz w:val="18"/>
        </w:rPr>
        <w:t>原文标题：Coinbase's Base launches MCP gateway for ChatGPT to manage crypto wallets and DeFi apps</w:t>
      </w:r>
    </w:p>
    <w:p>
      <w:pPr>
        <w:spacing w:before="0" w:after="200" w:line="360" w:lineRule="auto"/>
      </w:pPr>
      <w:r>
        <w:rPr>
          <w:rFonts w:ascii="Times New Roman" w:hAnsi="Times New Roman" w:eastAsia="宋体"/>
          <w:b w:val="0"/>
          <w:sz w:val="18"/>
        </w:rPr>
        <w:t>原文链接：https://news.google.com/rss/articles/CBMiwgFBVV95cUxQTnh6YTJFX3RPbzgxN0VsOEdhN1lXYzJQdElGN29sMXg4VzhHZURuR0NXNnoyWDBBa01OekhRYkFXd2RSd1ZOV0JKU0FHdGd1NHVhN2I4cVdHaDg3Nm4ycV96TDZ0YWtQbXg2aGxBcGFJdC1GSmNQdkNRMVIzTXp0eGVSWnU1WFc0TXhRUmMtUDRJRkR6enlRRkdvaUZyT0lmaDRUNC1Nc0lvWUE2eUtkcndlRVdVMEZWaEN3cXVLRWxDdw</w:t>
      </w:r>
    </w:p>
    <w:p/>
    <w:p>
      <w:pPr>
        <w:spacing w:before="80" w:after="160" w:line="360" w:lineRule="auto"/>
      </w:pPr>
      <w:r>
        <w:rPr>
          <w:rFonts w:ascii="Times New Roman" w:hAnsi="Times New Roman" w:eastAsia="黑体"/>
          <w:b/>
          <w:sz w:val="28"/>
        </w:rPr>
        <w:t>Bitget推出Reality平台实现代币化股票与稳定币分红</w:t>
      </w:r>
    </w:p>
    <w:p>
      <w:pPr>
        <w:spacing w:before="0" w:after="40" w:line="360" w:lineRule="auto"/>
      </w:pPr>
      <w:r>
        <w:rPr>
          <w:rFonts w:ascii="Times New Roman" w:hAnsi="Times New Roman" w:eastAsia="宋体"/>
          <w:b w:val="0"/>
          <w:sz w:val="22"/>
        </w:rPr>
        <w:t>· Bitget上线Reality平台，提供代币化股票交易并以稳定币支付股息。</w:t>
      </w:r>
    </w:p>
    <w:p>
      <w:pPr>
        <w:spacing w:before="0" w:after="40" w:line="360" w:lineRule="auto"/>
      </w:pPr>
      <w:r>
        <w:rPr>
          <w:rFonts w:ascii="Times New Roman" w:hAnsi="Times New Roman" w:eastAsia="宋体"/>
          <w:b w:val="0"/>
          <w:sz w:val="22"/>
        </w:rPr>
        <w:t>· 该平台将传统股票引入去中心化金融（DeFi）市场。</w:t>
      </w:r>
    </w:p>
    <w:p/>
    <w:p>
      <w:pPr>
        <w:spacing w:before="0" w:after="120" w:line="360" w:lineRule="auto"/>
        <w:ind w:firstLine="480"/>
      </w:pPr>
      <w:r>
        <w:rPr>
          <w:rFonts w:ascii="Times New Roman" w:hAnsi="Times New Roman" w:eastAsia="宋体"/>
          <w:b w:val="0"/>
          <w:sz w:val="24"/>
        </w:rPr>
        <w:t>加密交易所Bitget推出Reality平台，允许用户交易代币化股票并获得稳定币分红。</w:t>
      </w:r>
    </w:p>
    <w:p>
      <w:pPr>
        <w:spacing w:before="0" w:after="120" w:line="360" w:lineRule="auto"/>
        <w:ind w:firstLine="480"/>
      </w:pPr>
      <w:r>
        <w:rPr>
          <w:rFonts w:ascii="Times New Roman" w:hAnsi="Times New Roman" w:eastAsia="宋体"/>
          <w:b w:val="0"/>
          <w:sz w:val="24"/>
        </w:rPr>
        <w:t>Bitget宣布推出Reality平台，旨在将传统股票代币化并引入DeFi市场。用户可在该平台交易特斯拉、苹果等公司的代币化股票，并获得以USDT等稳定币形式发放的股息。</w:t>
      </w:r>
    </w:p>
    <w:p>
      <w:pPr>
        <w:spacing w:before="0" w:after="120" w:line="360" w:lineRule="auto"/>
        <w:ind w:firstLine="480"/>
      </w:pPr>
      <w:r>
        <w:rPr>
          <w:rFonts w:ascii="Times New Roman" w:hAnsi="Times New Roman" w:eastAsia="宋体"/>
          <w:b w:val="0"/>
          <w:sz w:val="24"/>
        </w:rPr>
        <w:t>Reality平台通过与合规托管机构合作，确保代币化股票与底层资产一一对应。Bitget表示，此举为全球投资者提供了无需传统证券账户即可参与股票市场的途径。</w:t>
      </w:r>
    </w:p>
    <w:p>
      <w:pPr>
        <w:spacing w:before="0" w:after="120" w:line="360" w:lineRule="auto"/>
        <w:ind w:firstLine="480"/>
      </w:pPr>
      <w:r>
        <w:rPr>
          <w:rFonts w:ascii="Times New Roman" w:hAnsi="Times New Roman" w:eastAsia="宋体"/>
          <w:b w:val="0"/>
          <w:sz w:val="24"/>
        </w:rPr>
        <w:t>该平台初始支持多个主流美股及部分港股，未来计划扩展至更多资产类别。行业观察人士认为，代币化资产正在成为连接传统金融与加密世界的重要桥梁。</w:t>
      </w:r>
    </w:p>
    <w:p>
      <w:pPr>
        <w:spacing w:before="0" w:after="40" w:line="360" w:lineRule="auto"/>
        <w:jc w:val="right"/>
      </w:pPr>
      <w:r>
        <w:rPr>
          <w:rFonts w:ascii="Times New Roman" w:hAnsi="Times New Roman" w:eastAsia="宋体"/>
          <w:b w:val="0"/>
          <w:sz w:val="21"/>
        </w:rPr>
        <w:t>（信息来源：Bitcoin News）</w:t>
      </w:r>
    </w:p>
    <w:p>
      <w:pPr>
        <w:spacing w:before="0" w:after="20" w:line="360" w:lineRule="auto"/>
      </w:pPr>
      <w:r>
        <w:rPr>
          <w:rFonts w:ascii="Times New Roman" w:hAnsi="Times New Roman" w:eastAsia="宋体"/>
          <w:b w:val="0"/>
          <w:sz w:val="18"/>
        </w:rPr>
        <w:t>原文标题：Bitget Launches Reality Platform for Tokenized Stocks With Stablecoin Dividend Payments</w:t>
      </w:r>
    </w:p>
    <w:p>
      <w:pPr>
        <w:spacing w:before="0" w:after="200" w:line="360" w:lineRule="auto"/>
      </w:pPr>
      <w:r>
        <w:rPr>
          <w:rFonts w:ascii="Times New Roman" w:hAnsi="Times New Roman" w:eastAsia="宋体"/>
          <w:b w:val="0"/>
          <w:sz w:val="18"/>
        </w:rPr>
        <w:t>原文链接：https://news.google.com/rss/articles/CBMiswFBVV95cUxPck54R09Ed1RTS01nRlNRSkhzdzBrT1ctZWJWWGk1cTVLejFhTkUzaUFzSXFRTERzOVpIZFBHTXlZc1k2Y0VvQzE1VUlDOTlEaUFXczg2cVZFc2xUdzZiSU0ybjktQVBlNGhDSHdSRFh6WTRaTTREWUZ2LS05MUNlZFpNc2I5YWttMUJIX0E4eGp0dlVUZ2hEd3BPVXdoOTY3MXZVTzRZOWc3LXRDbXFQM1VzUQ</w:t>
      </w:r>
    </w:p>
    <w:p>
      <w:pPr>
        <w:sectPr>
          <w:pgSz w:w="12240" w:h="15840"/>
          <w:pgMar w:top="1440" w:right="1803" w:bottom="1440" w:left="1803" w:header="720" w:footer="720" w:gutter="0"/>
          <w:cols w:space="720"/>
          <w:docGrid w:linePitch="360"/>
        </w:sectPr>
      </w:pPr>
    </w:p>
    <w:p>
      <w:pPr>
        <w:spacing w:before="0" w:after="240" w:line="360" w:lineRule="auto"/>
      </w:pPr>
      <w:r>
        <w:rPr>
          <w:rFonts w:ascii="Times New Roman" w:hAnsi="Times New Roman" w:eastAsia="黑体"/>
          <w:b/>
          <w:sz w:val="32"/>
        </w:rPr>
        <w:t>【市场动态】</w:t>
      </w:r>
    </w:p>
    <w:p>
      <w:pPr>
        <w:spacing w:before="80" w:after="160" w:line="360" w:lineRule="auto"/>
      </w:pPr>
      <w:r>
        <w:rPr>
          <w:rFonts w:ascii="Times New Roman" w:hAnsi="Times New Roman" w:eastAsia="黑体"/>
          <w:b/>
          <w:sz w:val="28"/>
        </w:rPr>
        <w:t>比特币ETF流出10亿美元资金转向HYPE、SOL与XRP</w:t>
      </w:r>
    </w:p>
    <w:p>
      <w:pPr>
        <w:spacing w:before="0" w:after="40" w:line="360" w:lineRule="auto"/>
      </w:pPr>
      <w:r>
        <w:rPr>
          <w:rFonts w:ascii="Times New Roman" w:hAnsi="Times New Roman" w:eastAsia="宋体"/>
          <w:b w:val="0"/>
          <w:sz w:val="22"/>
        </w:rPr>
        <w:t>· 比特币现货ETF在近期遭遇约10亿美元净流出，创下2026年单周流出新高。</w:t>
      </w:r>
    </w:p>
    <w:p>
      <w:pPr>
        <w:spacing w:before="0" w:after="40" w:line="360" w:lineRule="auto"/>
      </w:pPr>
      <w:r>
        <w:rPr>
          <w:rFonts w:ascii="Times New Roman" w:hAnsi="Times New Roman" w:eastAsia="宋体"/>
          <w:b w:val="0"/>
          <w:sz w:val="22"/>
        </w:rPr>
        <w:t>· 资金转向Hyperliquid（HYPE）、Solana（SOL）及XRP相关产品。</w:t>
      </w:r>
    </w:p>
    <w:p/>
    <w:p>
      <w:pPr>
        <w:spacing w:before="0" w:after="120" w:line="360" w:lineRule="auto"/>
        <w:ind w:firstLine="480"/>
      </w:pPr>
      <w:r>
        <w:rPr>
          <w:rFonts w:ascii="Times New Roman" w:hAnsi="Times New Roman" w:eastAsia="宋体"/>
          <w:b w:val="0"/>
          <w:sz w:val="24"/>
        </w:rPr>
        <w:t>比特币ETF遭遇大规模资金外流，而替代加密货币产品则吸引新资金流入。</w:t>
      </w:r>
    </w:p>
    <w:p>
      <w:pPr>
        <w:spacing w:before="0" w:after="120" w:line="360" w:lineRule="auto"/>
        <w:ind w:firstLine="480"/>
      </w:pPr>
      <w:r>
        <w:rPr>
          <w:rFonts w:ascii="Times New Roman" w:hAnsi="Times New Roman" w:eastAsia="宋体"/>
          <w:b w:val="0"/>
          <w:sz w:val="24"/>
        </w:rPr>
        <w:t>CoinDesk数据显示，美国比特币现货ETF在最近一周内净流出约10亿美元，为2026年以来最大单周流出规模。与此同时，Hyperliquid、Solana和XRP相关投资产品却获得显著资金流入，表明市场正在进行资产轮动。</w:t>
      </w:r>
    </w:p>
    <w:p>
      <w:pPr>
        <w:spacing w:before="0" w:after="120" w:line="360" w:lineRule="auto"/>
        <w:ind w:firstLine="480"/>
      </w:pPr>
      <w:r>
        <w:rPr>
          <w:rFonts w:ascii="Times New Roman" w:hAnsi="Times New Roman" w:eastAsia="宋体"/>
          <w:b w:val="0"/>
          <w:sz w:val="24"/>
        </w:rPr>
        <w:t>分析师认为，比特币ETF流出可能与宏观利率预期变化及地缘政治紧张有关。此外，部分投资者将资金转向被低估的替代币种，寻求更高回报。</w:t>
      </w:r>
    </w:p>
    <w:p>
      <w:pPr>
        <w:spacing w:before="0" w:after="120" w:line="360" w:lineRule="auto"/>
        <w:ind w:firstLine="480"/>
      </w:pPr>
      <w:r>
        <w:rPr>
          <w:rFonts w:ascii="Times New Roman" w:hAnsi="Times New Roman" w:eastAsia="宋体"/>
          <w:b w:val="0"/>
          <w:sz w:val="24"/>
        </w:rPr>
        <w:t>BlackRock旗下IBIT此前出现一笔13亿美元的“暗池”大额交易，加剧了市场恐慌。然而，XRP和HYPE产品仍保持正流入，显示出细分赛道仍有资金青睐。</w:t>
      </w:r>
    </w:p>
    <w:p>
      <w:pPr>
        <w:spacing w:before="0" w:after="40" w:line="360" w:lineRule="auto"/>
        <w:jc w:val="right"/>
      </w:pPr>
      <w:r>
        <w:rPr>
          <w:rFonts w:ascii="Times New Roman" w:hAnsi="Times New Roman" w:eastAsia="宋体"/>
          <w:b w:val="0"/>
          <w:sz w:val="21"/>
        </w:rPr>
        <w:t>（信息来源：CoinDesk）</w:t>
      </w:r>
    </w:p>
    <w:p>
      <w:pPr>
        <w:spacing w:before="0" w:after="20" w:line="360" w:lineRule="auto"/>
      </w:pPr>
      <w:r>
        <w:rPr>
          <w:rFonts w:ascii="Times New Roman" w:hAnsi="Times New Roman" w:eastAsia="宋体"/>
          <w:b w:val="0"/>
          <w:sz w:val="18"/>
        </w:rPr>
        <w:t>原文标题：Bitcoin ETFs bleed $1B as capital rotates into HYPE, SOL, XRP</w:t>
      </w:r>
    </w:p>
    <w:p>
      <w:pPr>
        <w:spacing w:before="0" w:after="200" w:line="360" w:lineRule="auto"/>
      </w:pPr>
      <w:r>
        <w:rPr>
          <w:rFonts w:ascii="Times New Roman" w:hAnsi="Times New Roman" w:eastAsia="宋体"/>
          <w:b w:val="0"/>
          <w:sz w:val="18"/>
        </w:rPr>
        <w:t>原文链接：https://news.google.com/rss/articles/CBMitgFBVV95cUxNRUlEckZVVGc5SW1XN0N3Z1BaLXQ4VG1UcnM2UGVjZE41SWMzM3EyTXNfZ1FsNml3VXV6V2J6dV9VMzFkQTNqYVJWNlJSWTQyRkpqQkNxejV3b0tvQzRJTXc3SXNYVTBnWkFodmhxSEpVLVlBLS1wdE9CTmxZbmlJaF9pMVF0TGtnTUNzaWo0RlV1aDZkbmk0THBvTzNGcHdpMVNSZTIxMDQwaXNvZWxvRjRNSGxkQQ</w:t>
      </w:r>
    </w:p>
    <w:p/>
    <w:p>
      <w:pPr>
        <w:spacing w:before="80" w:after="160" w:line="360" w:lineRule="auto"/>
      </w:pPr>
      <w:r>
        <w:rPr>
          <w:rFonts w:ascii="Times New Roman" w:hAnsi="Times New Roman" w:eastAsia="黑体"/>
          <w:b/>
          <w:sz w:val="28"/>
        </w:rPr>
        <w:t>XRPETF资产管理规模突破14亿美元比特币基金持续流出</w:t>
      </w:r>
    </w:p>
    <w:p>
      <w:pPr>
        <w:spacing w:before="0" w:after="40" w:line="360" w:lineRule="auto"/>
      </w:pPr>
      <w:r>
        <w:rPr>
          <w:rFonts w:ascii="Times New Roman" w:hAnsi="Times New Roman" w:eastAsia="宋体"/>
          <w:b w:val="0"/>
          <w:sz w:val="22"/>
        </w:rPr>
        <w:t>· XRP交易所交易基金（ETF）总资产管理规模（Assets Under Management，AUM）超过14亿美元。</w:t>
      </w:r>
    </w:p>
    <w:p>
      <w:pPr>
        <w:spacing w:before="0" w:after="40" w:line="360" w:lineRule="auto"/>
      </w:pPr>
      <w:r>
        <w:rPr>
          <w:rFonts w:ascii="Times New Roman" w:hAnsi="Times New Roman" w:eastAsia="宋体"/>
          <w:b w:val="0"/>
          <w:sz w:val="22"/>
        </w:rPr>
        <w:t>· 比特币基金同期录得资金净流出，形成鲜明对比。</w:t>
      </w:r>
    </w:p>
    <w:p/>
    <w:p>
      <w:pPr>
        <w:spacing w:before="0" w:after="120" w:line="360" w:lineRule="auto"/>
        <w:ind w:firstLine="480"/>
      </w:pPr>
      <w:r>
        <w:rPr>
          <w:rFonts w:ascii="Times New Roman" w:hAnsi="Times New Roman" w:eastAsia="宋体"/>
          <w:b w:val="0"/>
          <w:sz w:val="24"/>
        </w:rPr>
        <w:t>XRP ETF资产管理规模创下新高，而比特币基金则持续遭遇赎回。</w:t>
      </w:r>
    </w:p>
    <w:p>
      <w:pPr>
        <w:spacing w:before="0" w:after="120" w:line="360" w:lineRule="auto"/>
        <w:ind w:firstLine="480"/>
      </w:pPr>
      <w:r>
        <w:rPr>
          <w:rFonts w:ascii="Times New Roman" w:hAnsi="Times New Roman" w:eastAsia="宋体"/>
          <w:b w:val="0"/>
          <w:sz w:val="24"/>
        </w:rPr>
        <w:t>MoneyCheck数据显示，XRP交易所交易基金（ETF）的资产管理规模（AUM）已突破14亿美元，创下历史新高。这一增长主要得益于近期XRP价格强势表现及机构投资者对Ripple相关产品的兴趣。</w:t>
      </w:r>
    </w:p>
    <w:p>
      <w:pPr>
        <w:spacing w:before="0" w:after="120" w:line="360" w:lineRule="auto"/>
        <w:ind w:firstLine="480"/>
      </w:pPr>
      <w:r>
        <w:rPr>
          <w:rFonts w:ascii="Times New Roman" w:hAnsi="Times New Roman" w:eastAsia="宋体"/>
          <w:b w:val="0"/>
          <w:sz w:val="24"/>
        </w:rPr>
        <w:t>与此同时，比特币基金在同一时期继续录得净流出，部分资金可能转向XRP等替代资产。分析师指出，XRP在法律明确性方面取得的进展增强了投资者信心。</w:t>
      </w:r>
    </w:p>
    <w:p>
      <w:pPr>
        <w:spacing w:before="0" w:after="120" w:line="360" w:lineRule="auto"/>
        <w:ind w:firstLine="480"/>
      </w:pPr>
      <w:r>
        <w:rPr>
          <w:rFonts w:ascii="Times New Roman" w:hAnsi="Times New Roman" w:eastAsia="宋体"/>
          <w:b w:val="0"/>
          <w:sz w:val="24"/>
        </w:rPr>
        <w:t>目前多家发行商已推出XRP ETF产品，市场竞争日趋激烈。尽管整体加密市场面临压力，但XRP相关产品凭借独特的监管叙事吸引了增量资金。</w:t>
      </w:r>
    </w:p>
    <w:p>
      <w:pPr>
        <w:spacing w:before="0" w:after="40" w:line="360" w:lineRule="auto"/>
        <w:jc w:val="right"/>
      </w:pPr>
      <w:r>
        <w:rPr>
          <w:rFonts w:ascii="Times New Roman" w:hAnsi="Times New Roman" w:eastAsia="宋体"/>
          <w:b w:val="0"/>
          <w:sz w:val="21"/>
        </w:rPr>
        <w:t>（信息来源：MoneyCheck）</w:t>
      </w:r>
    </w:p>
    <w:p>
      <w:pPr>
        <w:spacing w:before="0" w:after="20" w:line="360" w:lineRule="auto"/>
      </w:pPr>
      <w:r>
        <w:rPr>
          <w:rFonts w:ascii="Times New Roman" w:hAnsi="Times New Roman" w:eastAsia="宋体"/>
          <w:b w:val="0"/>
          <w:sz w:val="18"/>
        </w:rPr>
        <w:t>原文标题：XRP ETFs Surpass $1.4 Billion Mark While Bitcoin Funds Experience Outflows</w:t>
      </w:r>
    </w:p>
    <w:p>
      <w:pPr>
        <w:spacing w:before="0" w:after="200" w:line="360" w:lineRule="auto"/>
      </w:pPr>
      <w:r>
        <w:rPr>
          <w:rFonts w:ascii="Times New Roman" w:hAnsi="Times New Roman" w:eastAsia="宋体"/>
          <w:b w:val="0"/>
          <w:sz w:val="18"/>
        </w:rPr>
        <w:t>原文链接：https://news.google.com/rss/articles/CBMingFBVV95cUxOZnJyMTVmVnhfYWdrdkgwTVMtS3Bpd3FSdVJXMVRZTktPNU10TkwtbTI4TkhmMnF2Sk9HZVZ0T3Q4dElURFpRVDJvLW53UFlIQ1VnU3pZUkFfNnRvTVFFdkFVdFhQSWJ5UGUtNmoxTUU2VTBpQU1NdWgzSUpCbkpGV1ZZNjRYR2V3b0FQZWJhY2k4TmhmOWQ1SHZMNlhlQQ</w:t>
      </w:r>
    </w:p>
    <w:p>
      <w:pPr>
        <w:sectPr>
          <w:pgSz w:w="12240" w:h="15840"/>
          <w:pgMar w:top="1440" w:right="1803" w:bottom="1440" w:left="1803" w:header="720" w:footer="720" w:gutter="0"/>
          <w:cols w:space="720"/>
          <w:docGrid w:linePitch="360"/>
        </w:sectPr>
      </w:pPr>
    </w:p>
    <w:p>
      <w:pPr>
        <w:spacing w:before="0" w:after="240" w:line="360" w:lineRule="auto"/>
      </w:pPr>
      <w:r>
        <w:rPr>
          <w:rFonts w:ascii="Times New Roman" w:hAnsi="Times New Roman" w:eastAsia="黑体"/>
          <w:b/>
          <w:sz w:val="32"/>
        </w:rPr>
        <w:t>【意见领袖】</w:t>
      </w:r>
    </w:p>
    <w:p>
      <w:pPr>
        <w:spacing w:before="80" w:after="160" w:line="360" w:lineRule="auto"/>
      </w:pPr>
      <w:r>
        <w:rPr>
          <w:rFonts w:ascii="Times New Roman" w:hAnsi="Times New Roman" w:eastAsia="黑体"/>
          <w:b/>
          <w:sz w:val="28"/>
        </w:rPr>
        <w:t>CathieWood预测机构正趁比特币下跌买入</w:t>
      </w:r>
    </w:p>
    <w:p>
      <w:pPr>
        <w:spacing w:before="0" w:after="40" w:line="360" w:lineRule="auto"/>
      </w:pPr>
      <w:r>
        <w:rPr>
          <w:rFonts w:ascii="Times New Roman" w:hAnsi="Times New Roman" w:eastAsia="宋体"/>
          <w:b w:val="0"/>
          <w:sz w:val="22"/>
        </w:rPr>
        <w:t>· ARK Invest首席执行官Cathie Wood认为，机构投资者正在利用比特币价格下跌的机会买入。</w:t>
      </w:r>
    </w:p>
    <w:p>
      <w:pPr>
        <w:spacing w:before="0" w:after="40" w:line="360" w:lineRule="auto"/>
      </w:pPr>
      <w:r>
        <w:rPr>
          <w:rFonts w:ascii="Times New Roman" w:hAnsi="Times New Roman" w:eastAsia="宋体"/>
          <w:b w:val="0"/>
          <w:sz w:val="22"/>
        </w:rPr>
        <w:t>· 她指出弱手（weak holders）正在退出市场，而长线机构资金则在进场。</w:t>
      </w:r>
    </w:p>
    <w:p/>
    <w:p>
      <w:pPr>
        <w:spacing w:before="0" w:after="120" w:line="360" w:lineRule="auto"/>
        <w:ind w:firstLine="480"/>
      </w:pPr>
      <w:r>
        <w:rPr>
          <w:rFonts w:ascii="Times New Roman" w:hAnsi="Times New Roman" w:eastAsia="宋体"/>
          <w:b w:val="0"/>
          <w:sz w:val="24"/>
        </w:rPr>
        <w:t>Cathie Wood坚持看多比特币，称机构资金正在逢低吸纳。</w:t>
      </w:r>
    </w:p>
    <w:p>
      <w:pPr>
        <w:spacing w:before="0" w:after="120" w:line="360" w:lineRule="auto"/>
        <w:ind w:firstLine="480"/>
      </w:pPr>
      <w:r>
        <w:rPr>
          <w:rFonts w:ascii="Times New Roman" w:hAnsi="Times New Roman" w:eastAsia="宋体"/>
          <w:b w:val="0"/>
          <w:sz w:val="24"/>
        </w:rPr>
        <w:t>ARK Invest首席执行官Cathie Wood在近期采访中表示，尽管比特币近期下跌，但机构投资者正在积极购入，而散户中的弱手（weak holders）则选择离场。她认为这是市场成熟的标志。</w:t>
      </w:r>
    </w:p>
    <w:p>
      <w:pPr>
        <w:spacing w:before="0" w:after="120" w:line="360" w:lineRule="auto"/>
        <w:ind w:firstLine="480"/>
      </w:pPr>
      <w:r>
        <w:rPr>
          <w:rFonts w:ascii="Times New Roman" w:hAnsi="Times New Roman" w:eastAsia="宋体"/>
          <w:b w:val="0"/>
          <w:sz w:val="24"/>
        </w:rPr>
        <w:t>Wood重申其对比特币的长期价格目标，认为在机构采用和稀缺性推动下，比特币仍有巨大上行空间。她指出，ETF的推出降低了机构入场门槛，长期来看需求将持续增长。</w:t>
      </w:r>
    </w:p>
    <w:p>
      <w:pPr>
        <w:spacing w:before="0" w:after="120" w:line="360" w:lineRule="auto"/>
        <w:ind w:firstLine="480"/>
      </w:pPr>
      <w:r>
        <w:rPr>
          <w:rFonts w:ascii="Times New Roman" w:hAnsi="Times New Roman" w:eastAsia="宋体"/>
          <w:b w:val="0"/>
          <w:sz w:val="24"/>
        </w:rPr>
        <w:t>尽管比特币ETF周度流出创下2026年新高，Wood认为这主要是短期资金轮动，而非趋势逆转。她强调，比特币的基本面并未改变，减半事件后供应紧缩将逐步显现。</w:t>
      </w:r>
    </w:p>
    <w:p>
      <w:pPr>
        <w:spacing w:before="0" w:after="40" w:line="360" w:lineRule="auto"/>
        <w:jc w:val="right"/>
      </w:pPr>
      <w:r>
        <w:rPr>
          <w:rFonts w:ascii="Times New Roman" w:hAnsi="Times New Roman" w:eastAsia="宋体"/>
          <w:b w:val="0"/>
          <w:sz w:val="21"/>
        </w:rPr>
        <w:t>（信息来源：Coinpedia）</w:t>
      </w:r>
    </w:p>
    <w:p>
      <w:pPr>
        <w:spacing w:before="0" w:after="20" w:line="360" w:lineRule="auto"/>
      </w:pPr>
      <w:r>
        <w:rPr>
          <w:rFonts w:ascii="Times New Roman" w:hAnsi="Times New Roman" w:eastAsia="宋体"/>
          <w:b w:val="0"/>
          <w:sz w:val="18"/>
        </w:rPr>
        <w:t>原文标题：Cathie Wood Says Institutions Are Buying Bitcoin While Weak Holders Exit the Market</w:t>
      </w:r>
    </w:p>
    <w:p>
      <w:pPr>
        <w:spacing w:before="0" w:after="200" w:line="360" w:lineRule="auto"/>
      </w:pPr>
      <w:r>
        <w:rPr>
          <w:rFonts w:ascii="Times New Roman" w:hAnsi="Times New Roman" w:eastAsia="宋体"/>
          <w:b w:val="0"/>
          <w:sz w:val="18"/>
        </w:rPr>
        <w:t>原文链接：https://news.google.com/rss/articles/CBMisAFBVV95cUxNcUVPbWx2dFZ6NEI0NV9pYkJTZlo1N244WDZMS2U1cnFMSG5PUXdEXzlGQnFPRlI1QktrVDE1VUY2Tk94UHl4TU1adklFbzE5VTJZcnNaaVFHM0doQlVYLWNQSVIxa1NuNXY5QkNOYjBaSE1Wd0Etb1dkMTFJNXA3RFNadGZOQ1NVcVBtZV9aSnlDWmpfY3R5bWlJb0FMNzNaal84amQ5dmhpaVBpWHVNRNIBtgFBVV95cUxPTDM0WjNUSkRDYTh0dWtSeTRMVmZsUzVURzdXcDgzQ1JLYXhaMHZrT2RLblZvWlU4MFM4RWxUVG5COWZJZUtCMWV2N3lPLUZGV3Y4LW9vc2hqZ1NCWk1oZ0VVdVBOV0VvMGQ1SGpyUVZwb253WWgtWkdDcDBHR2htYUZHOFZ0bTF5ZmxHTkJiTmZuallXa2tBNFQxY19ncC1wVmV</w:t>
      </w:r>
    </w:p>
    <w:p/>
    <w:p>
      <w:pPr>
        <w:spacing w:before="80" w:after="160" w:line="360" w:lineRule="auto"/>
      </w:pPr>
      <w:r>
        <w:rPr>
          <w:rFonts w:ascii="Times New Roman" w:hAnsi="Times New Roman" w:eastAsia="黑体"/>
          <w:b/>
          <w:sz w:val="28"/>
        </w:rPr>
        <w:t>ArthurHayes称监管无关紧要只有法币流动性推动比特币</w:t>
      </w:r>
    </w:p>
    <w:p>
      <w:pPr>
        <w:spacing w:before="0" w:after="40" w:line="360" w:lineRule="auto"/>
      </w:pPr>
      <w:r>
        <w:rPr>
          <w:rFonts w:ascii="Times New Roman" w:hAnsi="Times New Roman" w:eastAsia="宋体"/>
          <w:b w:val="0"/>
          <w:sz w:val="22"/>
        </w:rPr>
        <w:t>· BitMEX联合创始人Arthur Hayes认为监管对比特币价格影响有限。</w:t>
      </w:r>
    </w:p>
    <w:p>
      <w:pPr>
        <w:spacing w:before="0" w:after="40" w:line="360" w:lineRule="auto"/>
      </w:pPr>
      <w:r>
        <w:rPr>
          <w:rFonts w:ascii="Times New Roman" w:hAnsi="Times New Roman" w:eastAsia="宋体"/>
          <w:b w:val="0"/>
          <w:sz w:val="22"/>
        </w:rPr>
        <w:t>· 他指出只有法币流动性和央行政策才是比特币走势的真正驱动力。</w:t>
      </w:r>
    </w:p>
    <w:p/>
    <w:p>
      <w:pPr>
        <w:spacing w:before="0" w:after="120" w:line="360" w:lineRule="auto"/>
        <w:ind w:firstLine="480"/>
      </w:pPr>
      <w:r>
        <w:rPr>
          <w:rFonts w:ascii="Times New Roman" w:hAnsi="Times New Roman" w:eastAsia="宋体"/>
          <w:b w:val="0"/>
          <w:sz w:val="24"/>
        </w:rPr>
        <w:t>Arthur Hayes发表观点认为，监管并非影响比特币价格的关键因素，法币流动性才是核心。</w:t>
      </w:r>
    </w:p>
    <w:p>
      <w:pPr>
        <w:spacing w:before="0" w:after="120" w:line="360" w:lineRule="auto"/>
        <w:ind w:firstLine="480"/>
      </w:pPr>
      <w:r>
        <w:rPr>
          <w:rFonts w:ascii="Times New Roman" w:hAnsi="Times New Roman" w:eastAsia="宋体"/>
          <w:b w:val="0"/>
          <w:sz w:val="24"/>
        </w:rPr>
        <w:t>BitMEX联合创始人Arthur Hayes在CoinDesk采访中表示，各国监管政策对比特币价格的影响被高估。他认为，真正驱动比特币涨跌的是全球法币流动性和中央银行货币政策。</w:t>
      </w:r>
    </w:p>
    <w:p>
      <w:pPr>
        <w:spacing w:before="0" w:after="120" w:line="360" w:lineRule="auto"/>
        <w:ind w:firstLine="480"/>
      </w:pPr>
      <w:r>
        <w:rPr>
          <w:rFonts w:ascii="Times New Roman" w:hAnsi="Times New Roman" w:eastAsia="宋体"/>
          <w:b w:val="0"/>
          <w:sz w:val="24"/>
        </w:rPr>
        <w:t>Hayes指出，无论监管环境如何变化，只要央行继续印钞，比特币作为价值储存工具的需求就会存在。他举例称，2020年后的牛市与美联储量化宽松直接相关。</w:t>
      </w:r>
    </w:p>
    <w:p>
      <w:pPr>
        <w:spacing w:before="0" w:after="120" w:line="360" w:lineRule="auto"/>
        <w:ind w:firstLine="480"/>
      </w:pPr>
      <w:r>
        <w:rPr>
          <w:rFonts w:ascii="Times New Roman" w:hAnsi="Times New Roman" w:eastAsia="宋体"/>
          <w:b w:val="0"/>
          <w:sz w:val="24"/>
        </w:rPr>
        <w:t>他建议投资者关注各国央行的资产负债表扩张速度，而不是纠结于具体监管条款。Hayes还预测，下一轮比特币牛市将由财政刺激和债务货币化推动。</w:t>
      </w:r>
    </w:p>
    <w:p>
      <w:pPr>
        <w:spacing w:before="0" w:after="40" w:line="360" w:lineRule="auto"/>
        <w:jc w:val="right"/>
      </w:pPr>
      <w:r>
        <w:rPr>
          <w:rFonts w:ascii="Times New Roman" w:hAnsi="Times New Roman" w:eastAsia="宋体"/>
          <w:b w:val="0"/>
          <w:sz w:val="21"/>
        </w:rPr>
        <w:t>（信息来源：CoinDesk）</w:t>
      </w:r>
    </w:p>
    <w:p>
      <w:pPr>
        <w:spacing w:before="0" w:after="20" w:line="360" w:lineRule="auto"/>
      </w:pPr>
      <w:r>
        <w:rPr>
          <w:rFonts w:ascii="Times New Roman" w:hAnsi="Times New Roman" w:eastAsia="宋体"/>
          <w:b w:val="0"/>
          <w:sz w:val="18"/>
        </w:rPr>
        <w:t>原文标题：Arthur Hayes says regulation is irrelevant, only fiat liquidity moves bitcoin</w:t>
      </w:r>
    </w:p>
    <w:p>
      <w:pPr>
        <w:spacing w:before="0" w:after="200" w:line="360" w:lineRule="auto"/>
      </w:pPr>
      <w:r>
        <w:rPr>
          <w:rFonts w:ascii="Times New Roman" w:hAnsi="Times New Roman" w:eastAsia="宋体"/>
          <w:b w:val="0"/>
          <w:sz w:val="18"/>
        </w:rPr>
        <w:t>原文链接：https://news.google.com/rss/articles/CBMiqwFBVV95cUxQSzMzRzBnTEFmTG1HWXBMR2duT0FMTmMwRGVUSUlJc1pxYUxZWWYyaWh5UG1uR1lYTEF3MC05V3pudmQ1QkNfYlpDbEpJQ0VQdF8yMnRsbFhrZjgxQ2NsTTh1SGpUTkVrWGdCdTlfOFVHQ1R4dm1tOG9Cb1hnMVZTby1tQkl2Z1NOZmRTekl5QXJyLWVkLU5QSVExQ2RyT0Y5TUZCTEZUb3JuM2s</w:t>
      </w:r>
    </w:p>
    <w:p>
      <w:pPr>
        <w:sectPr>
          <w:pgSz w:w="12240" w:h="15840"/>
          <w:pgMar w:top="1440" w:right="1803" w:bottom="1440" w:left="1803" w:header="720" w:footer="720" w:gutter="0"/>
          <w:cols w:space="720"/>
          <w:docGrid w:linePitch="360"/>
        </w:sectPr>
      </w:pPr>
    </w:p>
    <w:p>
      <w:pPr>
        <w:spacing w:before="0" w:after="240" w:line="360" w:lineRule="auto"/>
      </w:pPr>
      <w:r>
        <w:rPr>
          <w:rFonts w:ascii="Times New Roman" w:hAnsi="Times New Roman" w:eastAsia="黑体"/>
          <w:b/>
          <w:sz w:val="32"/>
        </w:rPr>
        <w:t>【专题研究】</w:t>
      </w:r>
    </w:p>
    <w:p>
      <w:pPr>
        <w:spacing w:before="80" w:after="160" w:line="360" w:lineRule="auto"/>
      </w:pPr>
      <w:r>
        <w:rPr>
          <w:rFonts w:ascii="Times New Roman" w:hAnsi="Times New Roman" w:eastAsia="黑体"/>
          <w:b/>
          <w:sz w:val="28"/>
        </w:rPr>
        <w:t>代币化真实世界资产市场超510亿美元Bernstein报告揭示增长趋势</w:t>
      </w:r>
    </w:p>
    <w:p>
      <w:pPr>
        <w:spacing w:before="0" w:after="40" w:line="360" w:lineRule="auto"/>
      </w:pPr>
      <w:r>
        <w:rPr>
          <w:rFonts w:ascii="Times New Roman" w:hAnsi="Times New Roman" w:eastAsia="宋体"/>
          <w:b w:val="0"/>
          <w:sz w:val="22"/>
        </w:rPr>
        <w:t>· Bernstein研究报告显示，代币化真实世界资产（Real-World Asset，RWA）市场规模已超过510亿美元。</w:t>
      </w:r>
    </w:p>
    <w:p>
      <w:pPr>
        <w:spacing w:before="0" w:after="40" w:line="360" w:lineRule="auto"/>
      </w:pPr>
      <w:r>
        <w:rPr>
          <w:rFonts w:ascii="Times New Roman" w:hAnsi="Times New Roman" w:eastAsia="宋体"/>
          <w:b w:val="0"/>
          <w:sz w:val="22"/>
        </w:rPr>
        <w:t>· 私人信贷（private credit）在RWA市场中增长最快，占比持续提升。</w:t>
      </w:r>
    </w:p>
    <w:p/>
    <w:p>
      <w:pPr>
        <w:spacing w:before="0" w:after="120" w:line="360" w:lineRule="auto"/>
        <w:ind w:firstLine="480"/>
      </w:pPr>
      <w:r>
        <w:rPr>
          <w:rFonts w:ascii="Times New Roman" w:hAnsi="Times New Roman" w:eastAsia="宋体"/>
          <w:b w:val="0"/>
          <w:sz w:val="24"/>
        </w:rPr>
        <w:t>Bernstein的最新报告指出，代币化真实世界资产市场突破510亿美元，私人信贷领域成为主要增长引擎。</w:t>
      </w:r>
    </w:p>
    <w:p>
      <w:pPr>
        <w:spacing w:before="0" w:after="120" w:line="360" w:lineRule="auto"/>
        <w:ind w:firstLine="480"/>
      </w:pPr>
      <w:r>
        <w:rPr>
          <w:rFonts w:ascii="Times New Roman" w:hAnsi="Times New Roman" w:eastAsia="宋体"/>
          <w:b w:val="0"/>
          <w:sz w:val="24"/>
        </w:rPr>
        <w:t>Bernstein发布的研究报告显示，代币化真实世界资产（RWA）市场规模已超过510亿美元，较上年同期大幅增长。报告指出，私人信贷（private credit）在RWA中占据最大份额，且增速领先于国债、商品等其他资产类别。</w:t>
      </w:r>
    </w:p>
    <w:p>
      <w:pPr>
        <w:spacing w:before="0" w:after="120" w:line="360" w:lineRule="auto"/>
        <w:ind w:firstLine="480"/>
      </w:pPr>
      <w:r>
        <w:rPr>
          <w:rFonts w:ascii="Times New Roman" w:hAnsi="Times New Roman" w:eastAsia="宋体"/>
          <w:b w:val="0"/>
          <w:sz w:val="24"/>
        </w:rPr>
        <w:t>报告分析认为，区块链技术降低了资产发行和交易门槛，使非流动性资产如私募信贷基金得以实现部分代币化。机构投资者通过代币化可以更灵活地配置另类资产，同时提高透明度和效率。</w:t>
      </w:r>
    </w:p>
    <w:p>
      <w:pPr>
        <w:spacing w:before="0" w:after="120" w:line="360" w:lineRule="auto"/>
        <w:ind w:firstLine="480"/>
      </w:pPr>
      <w:r>
        <w:rPr>
          <w:rFonts w:ascii="Times New Roman" w:hAnsi="Times New Roman" w:eastAsia="宋体"/>
          <w:b w:val="0"/>
          <w:sz w:val="24"/>
        </w:rPr>
        <w:t>美国国债代币化产品也录得显著增长，以BlackRock旗下BUIDL基金为代表的代币化国债规模已超过20亿美元。Bernstein预测，到2028年RWA市场规模可能突破1万亿美元。</w:t>
      </w:r>
    </w:p>
    <w:p>
      <w:pPr>
        <w:spacing w:before="0" w:after="120" w:line="360" w:lineRule="auto"/>
        <w:ind w:firstLine="480"/>
      </w:pPr>
      <w:r>
        <w:rPr>
          <w:rFonts w:ascii="Times New Roman" w:hAnsi="Times New Roman" w:eastAsia="宋体"/>
          <w:b w:val="0"/>
          <w:sz w:val="24"/>
        </w:rPr>
        <w:t>然而，报告也警告称，监管不确定性仍是RWA市场面临的主要风险。不同司法管辖区对代币化资产的分类和证券法适用存在分歧，可能阻碍跨境发展。此外，智能合约漏洞和托管安全性问题也需要行业共同解决。</w:t>
      </w:r>
    </w:p>
    <w:p>
      <w:pPr>
        <w:spacing w:before="0" w:after="120" w:line="360" w:lineRule="auto"/>
        <w:ind w:firstLine="480"/>
      </w:pPr>
      <w:r>
        <w:rPr>
          <w:rFonts w:ascii="Times New Roman" w:hAnsi="Times New Roman" w:eastAsia="宋体"/>
          <w:b w:val="0"/>
          <w:sz w:val="24"/>
        </w:rPr>
        <w:t>总体而言，Bernstein对RWA前景持乐观态度，认为代币化将重塑传统金融市场结构。随着更多传统金融机构如富兰克林邓普顿（Franklin Templeton）和摩根大通（JPMorgan）入场，RWA有望成为区块链领域最大的应用场景之一。</w:t>
      </w:r>
    </w:p>
    <w:p>
      <w:pPr>
        <w:spacing w:before="0" w:after="40" w:line="360" w:lineRule="auto"/>
        <w:jc w:val="right"/>
      </w:pPr>
      <w:r>
        <w:rPr>
          <w:rFonts w:ascii="Times New Roman" w:hAnsi="Times New Roman" w:eastAsia="宋体"/>
          <w:b w:val="0"/>
          <w:sz w:val="21"/>
        </w:rPr>
        <w:t>（信息来源：Cryptonews.net）</w:t>
      </w:r>
    </w:p>
    <w:p>
      <w:pPr>
        <w:spacing w:before="0" w:after="20" w:line="360" w:lineRule="auto"/>
      </w:pPr>
      <w:r>
        <w:rPr>
          <w:rFonts w:ascii="Times New Roman" w:hAnsi="Times New Roman" w:eastAsia="宋体"/>
          <w:b w:val="0"/>
          <w:sz w:val="18"/>
        </w:rPr>
        <w:t>原文标题：Tokenized Real-World Asset Market Surpasses $51 Billion, Bernstein Reports</w:t>
      </w:r>
    </w:p>
    <w:p>
      <w:pPr>
        <w:spacing w:before="0" w:after="200" w:line="360" w:lineRule="auto"/>
      </w:pPr>
      <w:r>
        <w:rPr>
          <w:rFonts w:ascii="Times New Roman" w:hAnsi="Times New Roman" w:eastAsia="宋体"/>
          <w:b w:val="0"/>
          <w:sz w:val="18"/>
        </w:rPr>
        <w:t>原文链接：https://news.google.com/rss/articles/CBMiXEFVX3lxTFBUd0FTblVqNnREaDNiM2tFQ1NoSHRnV2h2VjU0MlctOUZlT3FiZVdQWmdpUjVqWWFoQlBqdzZVLUxVWlNPcDJqLUk5YmJ1X09LNktWU3BkSURydHJt</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加密货币观察周刊</dc:title>
  <dc:subject>2026-05-24 19:26 至 2026-05-27 19:26（北京时间，最近3天）</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