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黑体"/>
          <w:b w:val="0"/>
          <w:color w:val="2F5496"/>
          <w:sz w:val="32"/>
        </w:rPr>
        <w:t>专题研究</w:t>
      </w:r>
    </w:p>
    <w:p>
      <w:pPr>
        <w:jc w:val="center"/>
      </w:pPr>
      <w:r>
        <w:rPr>
          <w:rFonts w:ascii="Times New Roman" w:hAnsi="Times New Roman" w:cs="Times New Roman" w:eastAsia="黑体"/>
          <w:b w:val="0"/>
          <w:sz w:val="30"/>
        </w:rPr>
        <w:t>全球区块链监管沙盒最新进展：香港、欧盟与塞浦路斯的创新实践</w:t>
      </w:r>
    </w:p>
    <w:p>
      <w:pPr>
        <w:spacing w:before="0" w:after="0" w:line="240" w:lineRule="auto"/>
        <w:ind w:left="0" w:right="0" w:firstLine="0"/>
        <w:jc w:val="both"/>
      </w:pPr>
      <w:r>
        <w:rPr>
          <w:rFonts w:ascii="Times New Roman" w:hAnsi="Times New Roman" w:cs="Times New Roman" w:eastAsia="仿宋"/>
          <w:b w:val="0"/>
          <w:sz w:val="28"/>
        </w:rPr>
        <w:t>· 香港金融管理局（HKMA）于2024年8月推出Project Ensemble沙盒，探索代币化资产交易与批发央行数字货币（wCBDC）结算。</w:t>
      </w:r>
    </w:p>
    <w:p>
      <w:pPr>
        <w:spacing w:before="0" w:after="0" w:line="240" w:lineRule="auto"/>
        <w:ind w:left="0" w:right="0" w:firstLine="0"/>
        <w:jc w:val="both"/>
      </w:pPr>
      <w:r>
        <w:rPr>
          <w:rFonts w:ascii="Times New Roman" w:hAnsi="Times New Roman" w:cs="Times New Roman" w:eastAsia="仿宋"/>
          <w:b w:val="0"/>
          <w:sz w:val="28"/>
        </w:rPr>
        <w:t>· 欧盟区块链沙盒提供跨境监管对话框架，促进创新者与监管机构在保密环境中交流，每年遴选20个用例。</w:t>
      </w:r>
    </w:p>
    <w:p>
      <w:pPr>
        <w:spacing w:before="0" w:after="0" w:line="240" w:lineRule="auto"/>
        <w:ind w:left="0" w:right="0" w:firstLine="0"/>
        <w:jc w:val="both"/>
      </w:pPr>
      <w:r>
        <w:rPr>
          <w:rFonts w:ascii="Times New Roman" w:hAnsi="Times New Roman" w:cs="Times New Roman" w:eastAsia="仿宋"/>
          <w:b w:val="0"/>
          <w:sz w:val="28"/>
        </w:rPr>
        <w:t>· 塞浦路斯通过国家区块链战略和监管沙盒，成为欧洲区块链创新热点，吸引众多分布式账本技术（DLT）项目。</w:t>
      </w:r>
    </w:p>
    <w:p>
      <w:pPr>
        <w:sectPr>
          <w:pgSz w:w="12240" w:h="15840"/>
          <w:pgMar w:top="1440" w:right="1803" w:bottom="1440" w:left="1803" w:header="850" w:footer="992" w:gutter="0"/>
          <w:cols w:space="720"/>
          <w:docGrid w:type="lines" w:linePitch="312"/>
        </w:sectPr>
      </w:pPr>
    </w:p>
    <w:p>
      <w:pPr>
        <w:pStyle w:val="正文内容"/>
        <w:spacing w:before="0" w:after="0" w:line="240" w:lineRule="auto"/>
        <w:ind w:left="0" w:right="0" w:firstLine="560"/>
        <w:jc w:val="both"/>
      </w:pPr>
      <w:r>
        <w:rPr>
          <w:rFonts w:ascii="Times New Roman" w:hAnsi="Times New Roman" w:cs="Times New Roman" w:eastAsia="仿宋"/>
          <w:b w:val="0"/>
          <w:sz w:val="28"/>
        </w:rPr>
        <w:t>《国际区块链法律期刊》第10卷汇集了来自全球的专家文章，聚焦区块链监管沙盒、代币化以及加密资产合规等前沿话题。本专题研究稿提炼其中核心发现，涵盖香港、欧盟、塞浦路斯等司法管辖区的监管创新实践，旨在为从业者提供全面洞察。</w:t>
      </w:r>
    </w:p>
    <w:p>
      <w:pPr>
        <w:pStyle w:val="正文内容"/>
        <w:spacing w:before="0" w:after="0" w:line="240" w:lineRule="auto"/>
        <w:ind w:left="0" w:right="0" w:firstLine="560"/>
        <w:jc w:val="both"/>
      </w:pPr>
      <w:r>
        <w:rPr>
          <w:rFonts w:ascii="Times New Roman" w:hAnsi="Times New Roman" w:cs="Times New Roman" w:eastAsia="仿宋"/>
          <w:b w:val="0"/>
          <w:sz w:val="28"/>
        </w:rPr>
        <w:t>香港金融管理局（HKMA）于2024年8月28日启动Project Ensemble沙盒，这是其探索代币化资产交易结算的重要举措。该沙盒作为新型金融基础设施，支持代币化资产从发行、交易到使用代币化银行存款支付，最终通过HKMA发行的批发央行数字货币（wCBDC）进行银行间结算的全生命周期。</w:t>
      </w:r>
    </w:p>
    <w:p>
      <w:pPr>
        <w:pStyle w:val="正文内容"/>
        <w:spacing w:before="0" w:after="0" w:line="240" w:lineRule="auto"/>
        <w:ind w:left="0" w:right="0" w:firstLine="560"/>
        <w:jc w:val="both"/>
      </w:pPr>
      <w:r>
        <w:rPr>
          <w:rFonts w:ascii="Times New Roman" w:hAnsi="Times New Roman" w:cs="Times New Roman" w:eastAsia="仿宋"/>
          <w:b w:val="0"/>
          <w:sz w:val="28"/>
        </w:rPr>
        <w:t>沙盒首轮实验聚焦四大主题：固定收益与投资基金（债券和基金）、流动性管理（回购和财资管理）、绿色与可持续金融（碳信用和电动车充电站）、贸易与供应链金融。此外，跨境支付功能也被纳入测试范围。香港证券及期货事务监察委员会（SFC）将共同领导资产管理行业的代币化倡议。</w:t>
      </w:r>
    </w:p>
    <w:p>
      <w:pPr>
        <w:pStyle w:val="正文内容"/>
        <w:spacing w:before="0" w:after="0" w:line="240" w:lineRule="auto"/>
        <w:ind w:left="0" w:right="0" w:firstLine="560"/>
        <w:jc w:val="both"/>
      </w:pPr>
      <w:r>
        <w:rPr>
          <w:rFonts w:ascii="Times New Roman" w:hAnsi="Times New Roman" w:cs="Times New Roman" w:eastAsia="仿宋"/>
          <w:b w:val="0"/>
          <w:sz w:val="28"/>
        </w:rPr>
        <w:t>Project Ensemble沙盒的推出建立在2024年5月成立的架构社区之上。该社区成员包括银行、科技公司、监管机构和学术界，旨在制定行业标准以支持wCBDC、代币化货币和代币化资产之间的互操作性。HKMA表示，将与国际清算银行创新中心香港中心等机构合作，进一步推进沙盒发展。</w:t>
      </w:r>
    </w:p>
    <w:p>
      <w:pPr>
        <w:pStyle w:val="正文内容"/>
        <w:spacing w:before="0" w:after="0" w:line="240" w:lineRule="auto"/>
        <w:ind w:left="0" w:right="0" w:firstLine="560"/>
        <w:jc w:val="both"/>
      </w:pPr>
      <w:r>
        <w:rPr>
          <w:rFonts w:ascii="Times New Roman" w:hAnsi="Times New Roman" w:cs="Times New Roman" w:eastAsia="仿宋"/>
          <w:b w:val="0"/>
          <w:sz w:val="28"/>
        </w:rPr>
        <w:t>与香港的实践不同，欧盟区块链沙盒并非传统意义上的“监管沙盒”，而是一个为分布式账本技术（DLT）创新者与监管机构提供跨境对话的框架。该沙盒由欧盟委员会发起，由Bird &amp; Bird律所领导的联合体组织，每年从所有欧盟/欧洲经济区（EEA）地区遴选20个创新用例。</w:t>
      </w:r>
    </w:p>
    <w:p>
      <w:pPr>
        <w:pStyle w:val="正文内容"/>
        <w:spacing w:before="0" w:after="0" w:line="240" w:lineRule="auto"/>
        <w:ind w:left="0" w:right="0" w:firstLine="560"/>
        <w:jc w:val="both"/>
      </w:pPr>
      <w:r>
        <w:rPr>
          <w:rFonts w:ascii="Times New Roman" w:hAnsi="Times New Roman" w:cs="Times New Roman" w:eastAsia="仿宋"/>
          <w:b w:val="0"/>
          <w:sz w:val="28"/>
        </w:rPr>
        <w:t>欧盟沙盒的特点在于不提供法律豁免，也不对用例进行审批，而是通过保密、非正式的对活，帮助创新者理解监管框架，同时让监管机构深入了解新技术。对话涵盖金融监管、数据保护、网络安全、反洗钱（AML）等多个领域。最佳实践和教训以年度报告形式公开，但不会泄露具体用例信息。</w:t>
      </w:r>
    </w:p>
    <w:p>
      <w:pPr>
        <w:pStyle w:val="正文内容"/>
        <w:spacing w:before="0" w:after="0" w:line="240" w:lineRule="auto"/>
        <w:ind w:left="0" w:right="0" w:firstLine="560"/>
        <w:jc w:val="both"/>
      </w:pPr>
      <w:r>
        <w:rPr>
          <w:rFonts w:ascii="Times New Roman" w:hAnsi="Times New Roman" w:cs="Times New Roman" w:eastAsia="仿宋"/>
          <w:b w:val="0"/>
          <w:sz w:val="28"/>
        </w:rPr>
        <w:t>参与欧盟沙盒对创新者和监管机构均有裨益。创新者获得专业法律建议，并与多国监管机构建立联系；监管机构则能交流跨境监管经验，提升对前沿技术的认知，甚至竞争“最具创新监管机构”称号。第一轮对话反馈非常积极，几乎所有监管机构都表示愿意继续参与。</w:t>
      </w:r>
    </w:p>
    <w:p>
      <w:pPr>
        <w:pStyle w:val="正文内容"/>
        <w:spacing w:before="0" w:after="0" w:line="240" w:lineRule="auto"/>
        <w:ind w:left="0" w:right="0" w:firstLine="560"/>
        <w:jc w:val="both"/>
      </w:pPr>
      <w:r>
        <w:rPr>
          <w:rFonts w:ascii="Times New Roman" w:hAnsi="Times New Roman" w:cs="Times New Roman" w:eastAsia="仿宋"/>
          <w:b w:val="0"/>
          <w:sz w:val="28"/>
        </w:rPr>
        <w:t>塞浦路斯凭借其地理位置和欧盟成员国身份，正成为区块链创新热点。2018年该国签署欧洲区块链伙伴关系，2019年采用国家区块链战略，为后续发展奠定基础。塞浦路斯证券交易委员会（CySEC）推出的创新中心和监管沙盒，进一步吸引了大量DLT项目。</w:t>
      </w:r>
    </w:p>
    <w:p>
      <w:pPr>
        <w:pStyle w:val="正文内容"/>
        <w:spacing w:before="0" w:after="0" w:line="240" w:lineRule="auto"/>
        <w:ind w:left="0" w:right="0" w:firstLine="560"/>
        <w:jc w:val="both"/>
      </w:pPr>
      <w:r>
        <w:rPr>
          <w:rFonts w:ascii="Times New Roman" w:hAnsi="Times New Roman" w:cs="Times New Roman" w:eastAsia="仿宋"/>
          <w:b w:val="0"/>
          <w:sz w:val="28"/>
        </w:rPr>
        <w:t>2021年，塞浦路斯财政部就拟议的DLT法律草案进行公开咨询，旨在以技术中立的方式平衡创新促进与消费者保护、反洗钱。该法律草案虽仍在制定中，但已标志着塞浦路斯向确立区块链监管框架迈出关键一步。CySEC的监管沙盒于2024年6月启动，为金融科技企业提供受控测试环境。</w:t>
      </w:r>
    </w:p>
    <w:p>
      <w:pPr>
        <w:pStyle w:val="正文内容"/>
        <w:spacing w:before="0" w:after="0" w:line="240" w:lineRule="auto"/>
        <w:ind w:left="0" w:right="0" w:firstLine="560"/>
        <w:jc w:val="both"/>
      </w:pPr>
      <w:r>
        <w:rPr>
          <w:rFonts w:ascii="Times New Roman" w:hAnsi="Times New Roman" w:cs="Times New Roman" w:eastAsia="仿宋"/>
          <w:b w:val="0"/>
          <w:sz w:val="28"/>
        </w:rPr>
        <w:t>塞浦路斯国家区块链战略强调在公共和私营部门利用区块链提升透明度、推动经济增长。疫情期间，政府发起多项基于DLT的解决方案征集，涉及医疗、企业治理等领域，许多成果已落地应用。不过，法律框架的最终确定仍需时间，如何在国际监管标准与本土创新之间取得平衡仍是挑战。</w:t>
      </w:r>
    </w:p>
    <w:p>
      <w:pPr>
        <w:pStyle w:val="正文内容"/>
        <w:spacing w:before="0" w:after="0" w:line="240" w:lineRule="auto"/>
        <w:ind w:left="0" w:right="0" w:firstLine="560"/>
        <w:jc w:val="both"/>
      </w:pPr>
      <w:r>
        <w:rPr>
          <w:rFonts w:ascii="Times New Roman" w:hAnsi="Times New Roman" w:cs="Times New Roman" w:eastAsia="仿宋"/>
          <w:b w:val="0"/>
          <w:sz w:val="28"/>
        </w:rPr>
        <w:t>跨境市场准入是加密资产行业的又一核心议题。GSR Markets的文章分析了欧盟、英国和美国的不同做法，指出当前碎片化的监管环境阻碍了创新。作者提出建立安全且有利于创新的跨境准入框架的原则，强调需反映加密资产的全球性。</w:t>
      </w:r>
    </w:p>
    <w:p>
      <w:pPr>
        <w:pStyle w:val="正文内容"/>
        <w:spacing w:before="0" w:after="0" w:line="240" w:lineRule="auto"/>
        <w:ind w:left="0" w:right="0" w:firstLine="560"/>
        <w:jc w:val="both"/>
      </w:pPr>
      <w:r>
        <w:rPr>
          <w:rFonts w:ascii="Times New Roman" w:hAnsi="Times New Roman" w:cs="Times New Roman" w:eastAsia="仿宋"/>
          <w:b w:val="0"/>
          <w:sz w:val="28"/>
        </w:rPr>
        <w:t>在马来西亚，初始交易所发行（IEO）的监管框架正逐步完善。文章概述了马来西亚对IEO的现行规定，并考虑了伊斯兰教法合规性。作者预测，马来西亚将针对数字代币的全生命周期和资产服务基础设施出台更全面的法规。</w:t>
      </w:r>
    </w:p>
    <w:p>
      <w:pPr>
        <w:pStyle w:val="正文内容"/>
        <w:spacing w:before="0" w:after="0" w:line="240" w:lineRule="auto"/>
        <w:ind w:left="0" w:right="0" w:firstLine="560"/>
        <w:jc w:val="both"/>
      </w:pPr>
      <w:r>
        <w:rPr>
          <w:rFonts w:ascii="Times New Roman" w:hAnsi="Times New Roman" w:cs="Times New Roman" w:eastAsia="仿宋"/>
          <w:b w:val="0"/>
          <w:sz w:val="28"/>
        </w:rPr>
        <w:t>税务合规方面，经济合作与发展组织（OECD）的加密资产报告框架（CARF）受到关注。Taxbit Austria的专家指出，CARF并非用于计算加密税负，而是为税务机关提供风险评估工具，帮助识别高风险案例和潜在逃税行为。该框架已获得G20背书及60多个司法管辖区支持。</w:t>
      </w:r>
    </w:p>
    <w:p>
      <w:pPr>
        <w:pStyle w:val="正文内容"/>
        <w:spacing w:before="0" w:after="0" w:line="240" w:lineRule="auto"/>
        <w:ind w:left="0" w:right="0" w:firstLine="560"/>
        <w:jc w:val="both"/>
      </w:pPr>
      <w:r>
        <w:rPr>
          <w:rFonts w:ascii="Times New Roman" w:hAnsi="Times New Roman" w:cs="Times New Roman" w:eastAsia="仿宋"/>
          <w:b w:val="0"/>
          <w:sz w:val="28"/>
        </w:rPr>
        <w:t>美国加密破产交易领域呈现独特复杂性。文章指出，由于监管变化、资产价值波动和交易复杂性，加密资产重组需要灵活应对不断变化的目标。时间不确定性要求特别考虑以减轻潜在财务损失，这在美国破产法实践中尤为突出。</w:t>
      </w:r>
    </w:p>
    <w:p>
      <w:pPr>
        <w:pStyle w:val="正文内容"/>
        <w:spacing w:before="0" w:after="0" w:line="240" w:lineRule="auto"/>
        <w:ind w:left="0" w:right="0" w:firstLine="560"/>
        <w:jc w:val="both"/>
      </w:pPr>
      <w:r>
        <w:rPr>
          <w:rFonts w:ascii="Times New Roman" w:hAnsi="Times New Roman" w:cs="Times New Roman" w:eastAsia="仿宋"/>
          <w:b w:val="0"/>
          <w:sz w:val="28"/>
        </w:rPr>
        <w:t>本期期刊还包含克利福德·钱斯（Clifford Chance）与GBBC的研讨会记录，主题为“资产和基金代币化”，探讨了代币化在法律和操作层面的挑战。代币化被视为提高资产流动性和效率的途径，但需要在监管框架下审慎推进。</w:t>
      </w:r>
    </w:p>
    <w:p>
      <w:pPr>
        <w:pStyle w:val="正文内容"/>
        <w:spacing w:before="0" w:after="0" w:line="240" w:lineRule="auto"/>
        <w:ind w:left="0" w:right="0" w:firstLine="560"/>
        <w:jc w:val="both"/>
      </w:pPr>
      <w:r>
        <w:rPr>
          <w:rFonts w:ascii="Times New Roman" w:hAnsi="Times New Roman" w:cs="Times New Roman" w:eastAsia="仿宋"/>
          <w:b w:val="0"/>
          <w:sz w:val="28"/>
        </w:rPr>
        <w:t>综合来看，全球各司法管辖区在区块链监管沙盒方面呈现出多样化的路径。香港专注于代币化金融基础设施，欧盟强调跨境对话合作，塞浦路斯则通过国家战略和本土沙盒吸引创新。这些实践共同指向一个趋势：监管正从被动应对转向主动引导创新。</w:t>
      </w:r>
    </w:p>
    <w:p>
      <w:pPr>
        <w:pStyle w:val="正文内容"/>
        <w:spacing w:before="0" w:after="0" w:line="240" w:lineRule="auto"/>
        <w:ind w:left="0" w:right="0" w:firstLine="560"/>
        <w:jc w:val="both"/>
      </w:pPr>
      <w:r>
        <w:rPr>
          <w:rFonts w:ascii="Times New Roman" w:hAnsi="Times New Roman" w:cs="Times New Roman" w:eastAsia="仿宋"/>
          <w:b w:val="0"/>
          <w:sz w:val="28"/>
        </w:rPr>
        <w:t>未来，香港Project Ensemble沙盒有望发展为生产就绪的金融基础设施，支持真实资金交易。欧盟将进一步深化对话，探讨DLT与人工智能（AI）或物联网（IoT）的组合应用。塞浦路斯则有望在DLT法律出台后确立更为清晰的监管地位。</w:t>
      </w:r>
    </w:p>
    <w:p>
      <w:pPr>
        <w:pStyle w:val="正文内容"/>
        <w:spacing w:before="0" w:after="0" w:line="240" w:lineRule="auto"/>
        <w:ind w:left="0" w:right="0" w:firstLine="560"/>
        <w:jc w:val="both"/>
      </w:pPr>
      <w:r>
        <w:rPr>
          <w:rFonts w:ascii="Times New Roman" w:hAnsi="Times New Roman" w:cs="Times New Roman" w:eastAsia="仿宋"/>
          <w:b w:val="0"/>
          <w:sz w:val="28"/>
        </w:rPr>
        <w:t>对于加密资产企业而言，理解并适应这些不同的监管沙盒机制至关重要。无论是利用香港的wCBDC试点，还是参与欧盟的监管对话，都能在合规前提下加速创新。监管沙盒作为“安全港”，为探索新型商业模式提供了宝贵的缓冲空间。</w:t>
      </w:r>
    </w:p>
    <w:p>
      <w:pPr>
        <w:pStyle w:val="正文内容"/>
        <w:spacing w:before="0" w:after="0" w:line="240" w:lineRule="auto"/>
        <w:ind w:left="0" w:right="0" w:firstLine="560"/>
        <w:jc w:val="both"/>
      </w:pPr>
      <w:r>
        <w:rPr>
          <w:rFonts w:ascii="Times New Roman" w:hAnsi="Times New Roman" w:cs="Times New Roman" w:eastAsia="仿宋"/>
          <w:b w:val="0"/>
          <w:sz w:val="28"/>
        </w:rPr>
        <w:t>值得一提的是，尽管各沙盒具体设计不同，但均强调与监管机构的早期互动。这种互动不仅降低了合规不确定性，还帮助政策制定者了解技术前沿。期刊中的案例表明，成功的沙盒需要创新者、监管者和学术界的共同参与。</w:t>
      </w:r>
    </w:p>
    <w:p>
      <w:pPr>
        <w:pStyle w:val="正文内容"/>
        <w:spacing w:before="0" w:after="0" w:line="240" w:lineRule="auto"/>
        <w:ind w:left="0" w:right="0" w:firstLine="560"/>
        <w:jc w:val="both"/>
      </w:pPr>
      <w:r>
        <w:rPr>
          <w:rFonts w:ascii="Times New Roman" w:hAnsi="Times New Roman" w:cs="Times New Roman" w:eastAsia="仿宋"/>
          <w:b w:val="0"/>
          <w:sz w:val="28"/>
        </w:rPr>
        <w:t>综上所述，区块链监管沙盒已成为全球金融科技生态不可或缺的组成部分。通过香港Project Ensemble、欧盟区块链沙盒和塞浦路斯等地的实践，我们看到监管创新正在为分布式账本技术释放潜力铺平道路。各方应持续关注这些动态，把握合规与创新之间的平衡。</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（信息来源：TRM Labs Resources）</w:t>
      </w:r>
    </w:p>
    <w:p>
      <w:pPr>
        <w:pStyle w:val="原文信息"/>
        <w:spacing w:before="0" w:after="0" w:line="240" w:lineRule="auto"/>
        <w:ind w:left="0" w:right="0" w:firstLine="0"/>
        <w:jc w:val="left"/>
      </w:pPr>
      <w:r>
        <w:rPr>
          <w:rFonts w:ascii="Times New Roman" w:hAnsi="Times New Roman" w:cs="Times New Roman" w:eastAsia="仿宋"/>
          <w:b w:val="0"/>
          <w:sz w:val="18"/>
        </w:rPr>
        <w:t>原文标题：TRM Labs Resources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原文链接：https：//assets.ctfassets.net/so75yocayyva/3lwsDOoaPC9qARIuwobLRj/984ebb9d3ecfe58e7957675748ba199d/23.10.24_IJBL_V10_2024_final.pdf</w:t>
      </w:r>
    </w:p>
    <w:p>
      <w:pPr>
        <w:pStyle w:val="原文信息"/>
        <w:spacing w:before="0" w:after="0" w:line="240" w:lineRule="auto"/>
        <w:ind w:left="0" w:right="0" w:firstLine="0"/>
        <w:jc w:val="left"/>
      </w:pPr>
      <w:r>
        <w:rPr>
          <w:rFonts w:ascii="Times New Roman" w:hAnsi="Times New Roman" w:cs="Times New Roman" w:eastAsia="仿宋"/>
          <w:b w:val="0"/>
          <w:sz w:val="18"/>
        </w:rPr>
        <w:t>PDF文件：reports/2026/research_sources/20260604/TRM_Labs_Resources_TRM_Labs_Resources_474476ca.pdf</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专题研究_20260604</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