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英国金融监管机构严厉打击英超联赛加密货币合作伙伴关系</w:t>
      </w:r>
    </w:p>
    <w:p>
      <w:pPr>
        <w:pStyle w:val="ListParagraph"/>
        <w:spacing w:before="0" w:after="0" w:line="360" w:lineRule="auto"/>
        <w:ind w:left="0" w:firstLine="0"/>
      </w:pPr>
      <w:r>
        <w:rPr>
          <w:rFonts w:ascii="Times New Roman" w:hAnsi="Times New Roman" w:cs="Times New Roman" w:eastAsia="楷体"/>
          <w:b w:val="0"/>
          <w:sz w:val="28"/>
        </w:rPr>
        <w:t>· 清晰法案生存取决于美国参议院完成大量非加密工作</w:t>
      </w:r>
    </w:p>
    <w:p>
      <w:pPr>
        <w:pStyle w:val="ListParagraph"/>
        <w:spacing w:before="0" w:after="0" w:line="360" w:lineRule="auto"/>
        <w:ind w:left="0" w:firstLine="0"/>
      </w:pPr>
      <w:r>
        <w:rPr>
          <w:rFonts w:ascii="Times New Roman" w:hAnsi="Times New Roman" w:cs="Times New Roman" w:eastAsia="楷体"/>
          <w:b w:val="0"/>
          <w:sz w:val="28"/>
        </w:rPr>
        <w:t>· 新DeFi平台加入加密政治行动委员会阵营拓宽竞选资金渠道</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MoonPay推出MoonAgents桌面应用安全连接AI模型与加密钱包</w:t>
      </w:r>
    </w:p>
    <w:p>
      <w:pPr>
        <w:pStyle w:val="ListParagraph"/>
        <w:spacing w:before="0" w:after="0" w:line="360" w:lineRule="auto"/>
        <w:ind w:left="0" w:firstLine="0"/>
      </w:pPr>
      <w:r>
        <w:rPr>
          <w:rFonts w:ascii="Times New Roman" w:hAnsi="Times New Roman" w:cs="Times New Roman" w:eastAsia="楷体"/>
          <w:b w:val="0"/>
          <w:sz w:val="28"/>
        </w:rPr>
        <w:t>· Trezor称用户加密资产在硬件漏洞曝光后依然安全</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多头加密押注损失16亿美元ETHSOLDOGE下跌9%</w:t>
      </w:r>
    </w:p>
    <w:p>
      <w:pPr>
        <w:pStyle w:val="ListParagraph"/>
        <w:spacing w:before="0" w:after="0" w:line="360" w:lineRule="auto"/>
        <w:ind w:left="0" w:firstLine="0"/>
      </w:pPr>
      <w:r>
        <w:rPr>
          <w:rFonts w:ascii="Times New Roman" w:hAnsi="Times New Roman" w:cs="Times New Roman" w:eastAsia="楷体"/>
          <w:b w:val="0"/>
          <w:sz w:val="28"/>
        </w:rPr>
        <w:t>· 比特币在67000美元企稳但周跌9.5%后面临关键抉择</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加密长与短美国消费者怎么办</w:t>
      </w:r>
    </w:p>
    <w:p>
      <w:pPr>
        <w:pStyle w:val="ListParagraph"/>
        <w:spacing w:before="0" w:after="0" w:line="360" w:lineRule="auto"/>
        <w:ind w:left="0" w:firstLine="0"/>
      </w:pPr>
      <w:r>
        <w:rPr>
          <w:rFonts w:ascii="Times New Roman" w:hAnsi="Times New Roman" w:cs="Times New Roman" w:eastAsia="楷体"/>
          <w:b w:val="0"/>
          <w:sz w:val="28"/>
        </w:rPr>
        <w:t>· 分析师称以太坊在触底前可能再跌25%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英国金融监管机构严厉打击英超联赛加密货币合作伙伴关系</w:t>
      </w:r>
    </w:p>
    <w:p>
      <w:pPr>
        <w:spacing w:before="0" w:after="0" w:line="240" w:lineRule="auto"/>
        <w:ind w:left="0" w:right="0" w:firstLine="0"/>
        <w:jc w:val="both"/>
      </w:pPr>
      <w:r>
        <w:rPr>
          <w:rFonts w:ascii="Times New Roman" w:hAnsi="Times New Roman" w:cs="Times New Roman" w:eastAsia="仿宋"/>
          <w:b w:val="0"/>
          <w:sz w:val="28"/>
        </w:rPr>
        <w:t>· 英国FCA警告未经授权的加密货币公司可能通过英超联赛赞助违反金融推广规则。</w:t>
      </w:r>
    </w:p>
    <w:p>
      <w:pPr>
        <w:spacing w:before="0" w:after="0" w:line="240" w:lineRule="auto"/>
        <w:ind w:left="0" w:right="0" w:firstLine="0"/>
        <w:jc w:val="both"/>
      </w:pPr>
      <w:r>
        <w:rPr>
          <w:rFonts w:ascii="Times New Roman" w:hAnsi="Times New Roman" w:cs="Times New Roman" w:eastAsia="仿宋"/>
          <w:b w:val="0"/>
          <w:sz w:val="28"/>
        </w:rPr>
        <w:t>· 此次打击行动针对高调的体育赞助，凸显对加密营销的监管收紧。</w:t>
      </w:r>
    </w:p>
    <w:p>
      <w:pPr>
        <w:spacing w:before="0" w:after="0" w:line="240" w:lineRule="auto"/>
        <w:ind w:left="0" w:right="0" w:firstLine="0"/>
        <w:jc w:val="both"/>
      </w:pPr>
      <w:r>
        <w:rPr>
          <w:rFonts w:ascii="Times New Roman" w:hAnsi="Times New Roman" w:cs="Times New Roman" w:eastAsia="仿宋"/>
          <w:b w:val="0"/>
          <w:sz w:val="28"/>
        </w:rPr>
        <w:t>· 俱乐部需确保合作伙伴合规，否则面临执法风险。</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英国金融行为监管局（FCA）于2026年6月3日发出警告，称英超联赛的加密货币合作伙伴关系可能涉及未经授权的金融推广，违反相关法规。</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2026年6月3日，英国金融行为监管局（Financial Conduct Authority，FCA）正式发出警告，对英超联赛俱乐部与加密货币公司之间的合作伙伴关系采取严厉打击行动。FCA表示，未获授权的公司可能通过这类高调赞助协议违反金融推广规定，构成对消费者保护的潜在威胁。这一声明直接针对近年来英超俱乐部与加密平台日益频繁的商业合作，例如球衣赞助和品牌推广。</w:t>
      </w:r>
    </w:p>
    <w:p>
      <w:pPr>
        <w:pStyle w:val="正文内容"/>
        <w:spacing w:before="0" w:after="0" w:line="240" w:lineRule="auto"/>
        <w:ind w:left="0" w:right="0" w:firstLine="560"/>
        <w:jc w:val="both"/>
      </w:pPr>
      <w:r>
        <w:rPr>
          <w:rFonts w:ascii="Times New Roman" w:hAnsi="Times New Roman" w:cs="Times New Roman" w:eastAsia="仿宋"/>
          <w:b w:val="0"/>
          <w:sz w:val="28"/>
        </w:rPr>
        <w:t>FCA在声明中强调，任何在英国境内进行金融推广的公司都必须获得FCA授权或符合豁免条件。未经授权的实体通过体育赞助向公众推广加密货币产品，可能触犯《2000年金融服务与市场法》中关于金融促销的条款。FCA指出，这些赞助活动往往面向大量球迷，具有广泛影响力，若涉及未注册的加密服务，极易导致消费者在不了解风险的情况下进行投资。</w:t>
      </w:r>
    </w:p>
    <w:p>
      <w:pPr>
        <w:pStyle w:val="正文内容"/>
        <w:spacing w:before="0" w:after="0" w:line="240" w:lineRule="auto"/>
        <w:ind w:left="0" w:right="0" w:firstLine="560"/>
        <w:jc w:val="both"/>
      </w:pPr>
      <w:r>
        <w:rPr>
          <w:rFonts w:ascii="Times New Roman" w:hAnsi="Times New Roman" w:cs="Times New Roman" w:eastAsia="仿宋"/>
          <w:b w:val="0"/>
          <w:sz w:val="28"/>
        </w:rPr>
        <w:t>此次打击行动发生在英超联赛与多家加密货币公司签署高额赞助协议的背景下。尽管FCA未点名具体俱乐部或公司，但其警告覆盖所有涉及加密资产的赞助交易。FCA要求俱乐部必须对合作伙伴进行尽职调查，确保对方已获得适当授权或推广内容合规，否则俱乐部本身也可能因协助违规推广而承担法律责任。</w:t>
      </w:r>
    </w:p>
    <w:p>
      <w:pPr>
        <w:pStyle w:val="正文内容"/>
        <w:spacing w:before="0" w:after="0" w:line="240" w:lineRule="auto"/>
        <w:ind w:left="0" w:right="0" w:firstLine="560"/>
        <w:jc w:val="both"/>
      </w:pPr>
      <w:r>
        <w:rPr>
          <w:rFonts w:ascii="Times New Roman" w:hAnsi="Times New Roman" w:cs="Times New Roman" w:eastAsia="仿宋"/>
          <w:b w:val="0"/>
          <w:sz w:val="28"/>
        </w:rPr>
        <w:t>从市场影响看，FCA的立场可能迫使英超俱乐部重新评估现有赞助合同。一些尚未取得FCA授权的加密平台可能会被终止合作，或需要迅速申请监管批准。伦敦某体育营销机构分析师表示，这可能导致短期内俱乐部赞助收入下降，但长远有利于行业规范化。此外，其他英国体育联盟如英冠联赛也可能受到类似监管关注。</w:t>
      </w:r>
    </w:p>
    <w:p>
      <w:pPr>
        <w:pStyle w:val="正文内容"/>
        <w:spacing w:before="0" w:after="0" w:line="240" w:lineRule="auto"/>
        <w:ind w:left="0" w:right="0" w:firstLine="560"/>
        <w:jc w:val="both"/>
      </w:pPr>
      <w:r>
        <w:rPr>
          <w:rFonts w:ascii="Times New Roman" w:hAnsi="Times New Roman" w:cs="Times New Roman" w:eastAsia="仿宋"/>
          <w:b w:val="0"/>
          <w:sz w:val="28"/>
        </w:rPr>
        <w:t>对加密货币行业而言，FCA的警告进一步收窄了在英国市场的营销渠道。自2023年10月FCA实施更严格的加密促销规则以来，许多公司已转向海外注册或只面向专业投资者。此次针对体育赞助的打击，标志着监管从线上广告扩展到线下实体推广，加密公司需全面审视其营销合规性。</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FCA表示将继续监控英超及其他体育赛事的加密赞助情况，并可能采取执法行动，包括罚款或勒令停止推广。俱乐部和加密公司应主动与FCA沟通，确保合作符合即将发布的《金融推广指引》更新版。行业预计，未来体育赞助将更多转向已获FCA授权的合规实体，例如受监管的加密交易平台或代币化产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原文标题：UK's financial watchdog cracks down on Premier League crypto partnerships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原文链接：https：//www.coindesk.com/policy/2026/06/03/uk-s-financial-watchdog-cracks-down-on-premier-league-crypto-partnerships</w:t>
      </w:r>
    </w:p>
    <w:p/>
    <w:p>
      <w:pPr>
        <w:pStyle w:val="文章一级标题"/>
        <w:spacing w:before="0" w:after="0" w:line="240" w:lineRule="auto"/>
        <w:ind w:left="0" w:right="0" w:firstLine="0"/>
        <w:jc w:val="center"/>
      </w:pPr>
      <w:r>
        <w:rPr>
          <w:rFonts w:ascii="Times New Roman" w:hAnsi="Times New Roman" w:cs="Times New Roman" w:eastAsia="黑体"/>
          <w:b w:val="0"/>
          <w:sz w:val="30"/>
        </w:rPr>
        <w:t>清晰法案生存取决于美国参议院完成大量非加密工作</w:t>
      </w:r>
    </w:p>
    <w:p>
      <w:pPr>
        <w:spacing w:before="0" w:after="0" w:line="240" w:lineRule="auto"/>
        <w:ind w:left="0" w:right="0" w:firstLine="0"/>
        <w:jc w:val="both"/>
      </w:pPr>
      <w:r>
        <w:rPr>
          <w:rFonts w:ascii="Times New Roman" w:hAnsi="Times New Roman" w:cs="Times New Roman" w:eastAsia="仿宋"/>
          <w:b w:val="0"/>
          <w:sz w:val="28"/>
        </w:rPr>
        <w:t>· 美国国会日程缩减使加密法案面临与其他优先事项的立法竞争。</w:t>
      </w:r>
    </w:p>
    <w:p>
      <w:pPr>
        <w:spacing w:before="0" w:after="0" w:line="240" w:lineRule="auto"/>
        <w:ind w:left="0" w:right="0" w:firstLine="0"/>
        <w:jc w:val="both"/>
      </w:pPr>
      <w:r>
        <w:rPr>
          <w:rFonts w:ascii="Times New Roman" w:hAnsi="Times New Roman" w:cs="Times New Roman" w:eastAsia="仿宋"/>
          <w:b w:val="0"/>
          <w:sz w:val="28"/>
        </w:rPr>
        <w:t>· 清晰法案需参议院先处理大量非加密工作才能获得审议时间。</w:t>
      </w:r>
    </w:p>
    <w:p>
      <w:pPr>
        <w:spacing w:before="0" w:after="0" w:line="240" w:lineRule="auto"/>
        <w:ind w:left="0" w:right="0" w:firstLine="0"/>
        <w:jc w:val="both"/>
      </w:pPr>
      <w:r>
        <w:rPr>
          <w:rFonts w:ascii="Times New Roman" w:hAnsi="Times New Roman" w:cs="Times New Roman" w:eastAsia="仿宋"/>
          <w:b w:val="0"/>
          <w:sz w:val="28"/>
        </w:rPr>
        <w:t>· 法案存亡取决于立法效率，后续观察国会是否能在有限时间内完成表决。</w:t>
      </w:r>
    </w:p>
    <w:p>
      <w:pPr>
        <w:pStyle w:val="正文内容"/>
        <w:spacing w:before="0" w:after="0" w:line="240" w:lineRule="auto"/>
        <w:ind w:left="0" w:right="0" w:firstLine="560"/>
        <w:jc w:val="both"/>
      </w:pPr>
      <w:r>
        <w:rPr>
          <w:rFonts w:ascii="Times New Roman" w:hAnsi="Times New Roman" w:cs="Times New Roman" w:eastAsia="仿宋"/>
          <w:b w:val="0"/>
          <w:sz w:val="28"/>
        </w:rPr>
        <w:t>随着2026年国会会期日益缩短，美国参议院面临的立法积压可能使“清晰法案”（Clarity Act）——一项旨在建立加密市场结构监管框架的法案——与其他优先事项展开激烈的时间争夺。该法案的最终命运可能取决于参议院能否在完成大量非加密工作后腾出议事窗口。</w:t>
      </w:r>
    </w:p>
    <w:p>
      <w:pPr>
        <w:pStyle w:val="正文内容"/>
        <w:spacing w:before="0" w:after="0" w:line="240" w:lineRule="auto"/>
        <w:ind w:left="0" w:right="0" w:firstLine="560"/>
        <w:jc w:val="both"/>
      </w:pPr>
      <w:r>
        <w:rPr>
          <w:rFonts w:ascii="Times New Roman" w:hAnsi="Times New Roman" w:cs="Times New Roman" w:eastAsia="仿宋"/>
          <w:b w:val="0"/>
          <w:sz w:val="28"/>
        </w:rPr>
        <w:t>美国“清晰法案”（Clarity Act）的立法前景正面临严峻的时间挑战。截至2026年6月初，国会剩余会期天数不断减少，参议院需要同时处理预算案、国防授权、能源改革等多项非加密领域的重大立法。这些优先事项将占据大量议事时间，留给加密市场结构法案的窗口极为有限。分析人士指出，法案能否在年底前通过，很大程度上取决于参议院多数党领袖能否有效协调日程。</w:t>
      </w:r>
    </w:p>
    <w:p>
      <w:pPr>
        <w:pStyle w:val="正文内容"/>
        <w:spacing w:before="0" w:after="0" w:line="240" w:lineRule="auto"/>
        <w:ind w:left="0" w:right="0" w:firstLine="560"/>
        <w:jc w:val="both"/>
      </w:pPr>
      <w:r>
        <w:rPr>
          <w:rFonts w:ascii="Times New Roman" w:hAnsi="Times New Roman" w:cs="Times New Roman" w:eastAsia="仿宋"/>
          <w:b w:val="0"/>
          <w:sz w:val="28"/>
        </w:rPr>
        <w:t>这项法案旨在为数字资产提供明确的联邦监管分类，解决长期以来美国证券交易委员会（SEC）和商品期货交易委员会（CFTC）之间的管辖权争议。如果无法在本次会期内完成表决，法案将面临2027年新一届国会重新提交的风险，届时立法动力可能丧失。然而，支持者承认，加密问题在参议院议事清单上并非最高优先级别。</w:t>
      </w:r>
    </w:p>
    <w:p>
      <w:pPr>
        <w:pStyle w:val="正文内容"/>
        <w:spacing w:before="0" w:after="0" w:line="240" w:lineRule="auto"/>
        <w:ind w:left="0" w:right="0" w:firstLine="560"/>
        <w:jc w:val="both"/>
      </w:pPr>
      <w:r>
        <w:rPr>
          <w:rFonts w:ascii="Times New Roman" w:hAnsi="Times New Roman" w:cs="Times New Roman" w:eastAsia="仿宋"/>
          <w:b w:val="0"/>
          <w:sz w:val="28"/>
        </w:rPr>
        <w:t>参议院当前面临的立法积压远超往年。例如，2025年通过的《国防授权法案》（NDAA）修订版本尚未完成最终协商，而2026财年预算拨款仍有多个项目悬而未决。这些跨党派必须完成的工作会优先占用院会时间。加密法案的支持者因此强调，必须将法案附于某些“必须通过”的立法中，否则单独审议的机会渺茫。</w:t>
      </w:r>
    </w:p>
    <w:p>
      <w:pPr>
        <w:pStyle w:val="正文内容"/>
        <w:spacing w:before="0" w:after="0" w:line="240" w:lineRule="auto"/>
        <w:ind w:left="0" w:right="0" w:firstLine="560"/>
        <w:jc w:val="both"/>
      </w:pPr>
      <w:r>
        <w:rPr>
          <w:rFonts w:ascii="Times New Roman" w:hAnsi="Times New Roman" w:cs="Times New Roman" w:eastAsia="仿宋"/>
          <w:b w:val="0"/>
          <w:sz w:val="28"/>
        </w:rPr>
        <w:t>加密行业利益相关者持续进行游说，强调监管清晰度对保护投资者和促进创新的重要性。部分共和党议员主张法案能减轻企业合规负担，而一些民主党议员则要求加强消费者保护条款。两党分歧虽然存在，但核心障碍仍是时间短缺——并非政策争议。众议院已于2025年通过了类似版本，但参议院的程序性瓶颈成为最大变量。</w:t>
      </w:r>
    </w:p>
    <w:p>
      <w:pPr>
        <w:pStyle w:val="正文内容"/>
        <w:spacing w:before="0" w:after="0" w:line="240" w:lineRule="auto"/>
        <w:ind w:left="0" w:right="0" w:firstLine="560"/>
        <w:jc w:val="both"/>
      </w:pPr>
      <w:r>
        <w:rPr>
          <w:rFonts w:ascii="Times New Roman" w:hAnsi="Times New Roman" w:cs="Times New Roman" w:eastAsia="仿宋"/>
          <w:b w:val="0"/>
          <w:sz w:val="28"/>
        </w:rPr>
        <w:t>多位国会观察人士指出，若参议院领导层能在6月底前完成非加密核心工作，7月至8月或将有数周时间用于金融相关法案的审议。但即便取得进展，法案仍需通过委员会标记、院会辩论、修正案投票等多个环节，每个环节都可能被争议拖延。加密法案的生存空间正在被不断压缩。</w:t>
      </w:r>
    </w:p>
    <w:p>
      <w:pPr>
        <w:pStyle w:val="正文内容"/>
        <w:spacing w:before="0" w:after="0" w:line="240" w:lineRule="auto"/>
        <w:ind w:left="0" w:right="0" w:firstLine="560"/>
        <w:jc w:val="both"/>
      </w:pPr>
      <w:r>
        <w:rPr>
          <w:rFonts w:ascii="Times New Roman" w:hAnsi="Times New Roman" w:cs="Times New Roman" w:eastAsia="仿宋"/>
          <w:b w:val="0"/>
          <w:sz w:val="28"/>
        </w:rPr>
        <w:t>后续需关注的关键节点包括：参议院银行委员会是否在2026年夏季安排听证会，以及多数党领袖是否将该法案列入秋季议事日程。如果无法在8月休会前获得实质性推进，法案基本可以确定将延期至下一届国会。届时，行业将不得不重新开启游说进程，立法时机可能再次错失。</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原文标题：Clarity Act survival depends on the U.S. Senate getting a lot of non-crypto work done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原文链接：https：//www.coindesk.com/news-analysis/2026/06/02/clarity-act-survival-depends-on-the-u-s-senate-getting-a-lot-of-non-crypto-work-done</w:t>
      </w:r>
    </w:p>
    <w:p/>
    <w:p>
      <w:pPr>
        <w:pStyle w:val="文章一级标题"/>
        <w:spacing w:before="0" w:after="0" w:line="240" w:lineRule="auto"/>
        <w:ind w:left="0" w:right="0" w:firstLine="0"/>
        <w:jc w:val="center"/>
      </w:pPr>
      <w:r>
        <w:rPr>
          <w:rFonts w:ascii="Times New Roman" w:hAnsi="Times New Roman" w:cs="Times New Roman" w:eastAsia="黑体"/>
          <w:b w:val="0"/>
          <w:sz w:val="30"/>
        </w:rPr>
        <w:t>新DeFi平台加入加密政治行动委员会阵营拓宽竞选资金渠道</w:t>
      </w:r>
    </w:p>
    <w:p>
      <w:pPr>
        <w:spacing w:before="0" w:after="0" w:line="240" w:lineRule="auto"/>
        <w:ind w:left="0" w:right="0" w:firstLine="0"/>
        <w:jc w:val="both"/>
      </w:pPr>
      <w:r>
        <w:rPr>
          <w:rFonts w:ascii="Times New Roman" w:hAnsi="Times New Roman" w:cs="Times New Roman" w:eastAsia="仿宋"/>
          <w:b w:val="0"/>
          <w:sz w:val="28"/>
        </w:rPr>
        <w:t>· 全新DeFi平台宣布加入加密政治行动委员会（PAC）阵营，提供数字资产捐款渠道。</w:t>
      </w:r>
    </w:p>
    <w:p>
      <w:pPr>
        <w:spacing w:before="0" w:after="0" w:line="240" w:lineRule="auto"/>
        <w:ind w:left="0" w:right="0" w:firstLine="0"/>
        <w:jc w:val="both"/>
      </w:pPr>
      <w:r>
        <w:rPr>
          <w:rFonts w:ascii="Times New Roman" w:hAnsi="Times New Roman" w:cs="Times New Roman" w:eastAsia="仿宋"/>
          <w:b w:val="0"/>
          <w:sz w:val="28"/>
        </w:rPr>
        <w:t>· 2026年中期选举临近，加密行业政治献金总额持续攀升，监管机构加强审查。</w:t>
      </w:r>
    </w:p>
    <w:p>
      <w:pPr>
        <w:spacing w:before="0" w:after="0" w:line="240" w:lineRule="auto"/>
        <w:ind w:left="0" w:right="0" w:firstLine="0"/>
        <w:jc w:val="both"/>
      </w:pPr>
      <w:r>
        <w:rPr>
          <w:rFonts w:ascii="Times New Roman" w:hAnsi="Times New Roman" w:cs="Times New Roman" w:eastAsia="仿宋"/>
          <w:b w:val="0"/>
          <w:sz w:val="28"/>
        </w:rPr>
        <w:t>· 新参与者可能改变政治捐款格局，但合规性及透明度问题仍待解决。</w:t>
      </w:r>
    </w:p>
    <w:p>
      <w:pPr>
        <w:pStyle w:val="正文内容"/>
        <w:spacing w:before="0" w:after="0" w:line="240" w:lineRule="auto"/>
        <w:ind w:left="0" w:right="0" w:firstLine="560"/>
        <w:jc w:val="both"/>
      </w:pPr>
      <w:r>
        <w:rPr>
          <w:rFonts w:ascii="Times New Roman" w:hAnsi="Times New Roman" w:cs="Times New Roman" w:eastAsia="仿宋"/>
          <w:b w:val="0"/>
          <w:sz w:val="28"/>
        </w:rPr>
        <w:t>在2026年中期选举倒计时之际，一个全新的去中心化金融（DeFi）平台加入加密政治行动委员会（PAC）行列，进一步拓宽了数字资产用于政治竞选的资金渠道。此举标志着加密行业对政治影响力的争夺进入新阶段，但也引发监管层对洗钱与透明度风险的担忧。</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2026年6月3日，CoinDesk报道称，一家未具名的全新去中心化金融（DeFi，Decentralized Finance）平台宣布将推出一项服务于政治行动委员会（PAC，Political Action Committee）的捐款功能。该平台允许用户通过智能合约直接向特定候选人或委员会捐赠加密货币，并自动生成合规所需的捐款记录。此举使DeFi领域首次直接切入美国政治竞选资金市场，此前该市场主要由传统金融和中心化加密交易所主导。</w:t>
      </w:r>
    </w:p>
    <w:p>
      <w:pPr>
        <w:pStyle w:val="正文内容"/>
        <w:spacing w:before="0" w:after="0" w:line="240" w:lineRule="auto"/>
        <w:ind w:left="0" w:right="0" w:firstLine="560"/>
        <w:jc w:val="both"/>
      </w:pPr>
      <w:r>
        <w:rPr>
          <w:rFonts w:ascii="Times New Roman" w:hAnsi="Times New Roman" w:cs="Times New Roman" w:eastAsia="仿宋"/>
          <w:b w:val="0"/>
          <w:sz w:val="28"/>
        </w:rPr>
        <w:t>随着2026年11月中期选举的日益临近，加密行业的政治捐款总额已创下历史新高。根据公开数据，多个以加密友好为宗旨的PAC在2026年上半年累计募集超过1.2亿美元，较2022年同期增长约40%。新DeFi平台的加入可能进一步降低捐款门槛，吸引更多散户投资者参与政治捐赠，从而扩大行业在华盛顿的话语权。</w:t>
      </w:r>
    </w:p>
    <w:p>
      <w:pPr>
        <w:pStyle w:val="正文内容"/>
        <w:spacing w:before="0" w:after="0" w:line="240" w:lineRule="auto"/>
        <w:ind w:left="0" w:right="0" w:firstLine="560"/>
        <w:jc w:val="both"/>
      </w:pPr>
      <w:r>
        <w:rPr>
          <w:rFonts w:ascii="Times New Roman" w:hAnsi="Times New Roman" w:cs="Times New Roman" w:eastAsia="仿宋"/>
          <w:b w:val="0"/>
          <w:sz w:val="28"/>
        </w:rPr>
        <w:t>然而，新渠道也带来监管挑战。美国联邦选举委员会（FEC）尚未对DeFi捐款的匿名性、反洗钱（AML）合规及捐款上限等问题发布明确指引。部分法律专家指出，若平台未实施充分的身份验证（KYC）措施，可能被用于规避个人捐款限额或隐藏资金来源。2026年5月，美国证券交易委员会（SEC）已就类似问题向两家加密PAC发出问询函，要求其提供捐款明细。</w:t>
      </w:r>
    </w:p>
    <w:p>
      <w:pPr>
        <w:pStyle w:val="正文内容"/>
        <w:spacing w:before="0" w:after="0" w:line="240" w:lineRule="auto"/>
        <w:ind w:left="0" w:right="0" w:firstLine="560"/>
        <w:jc w:val="both"/>
      </w:pPr>
      <w:r>
        <w:rPr>
          <w:rFonts w:ascii="Times New Roman" w:hAnsi="Times New Roman" w:cs="Times New Roman" w:eastAsia="仿宋"/>
          <w:b w:val="0"/>
          <w:sz w:val="28"/>
        </w:rPr>
        <w:t>新平台设计了一套“可审计透明”机制：每笔捐款均记录在链上，但捐款人身份通过零知识证明（ZK-Proof）技术进行验证，实现在保护隐私的同时满足监管审查。其开发者表示，系统已与多家合规审计机构合作，确保符合《联邦选举竞选法》要求。不过，批评者认为链上数据公开可能仍暴露捐款模式，不利于小额捐赠者隐私。</w:t>
      </w:r>
    </w:p>
    <w:p>
      <w:pPr>
        <w:pStyle w:val="正文内容"/>
        <w:spacing w:before="0" w:after="0" w:line="240" w:lineRule="auto"/>
        <w:ind w:left="0" w:right="0" w:firstLine="560"/>
        <w:jc w:val="both"/>
      </w:pPr>
      <w:r>
        <w:rPr>
          <w:rFonts w:ascii="Times New Roman" w:hAnsi="Times New Roman" w:cs="Times New Roman" w:eastAsia="仿宋"/>
          <w:b w:val="0"/>
          <w:sz w:val="28"/>
        </w:rPr>
        <w:t>行业观察人士分析，DeFi涉足政治捐款是加密金融与传统政治体制深度融合的缩影。若该模式成功，可能推动FEC在2027年前出台专门针对数字资产的捐款规则。与此同时，共和党与民主党均加大了对加密议题的关注，多位候选人在2026年竞选纲领中明确表态支持或限制数字资产。新平台的资金流向将成为两党博弈的焦点。</w:t>
      </w:r>
    </w:p>
    <w:p>
      <w:pPr>
        <w:pStyle w:val="正文内容"/>
        <w:spacing w:before="0" w:after="0" w:line="240" w:lineRule="auto"/>
        <w:ind w:left="0" w:right="0" w:firstLine="560"/>
        <w:jc w:val="both"/>
      </w:pPr>
      <w:r>
        <w:rPr>
          <w:rFonts w:ascii="Times New Roman" w:hAnsi="Times New Roman" w:cs="Times New Roman" w:eastAsia="仿宋"/>
          <w:b w:val="0"/>
          <w:sz w:val="28"/>
        </w:rPr>
        <w:t>截至发稿，FEC尚未就此事发表声明。CoinDesk联系了多家监管机构及政治顾问公司，对方均拒绝置评或未予回应。业内人士预计，在选举最终结果落定前，围绕DeFi政治捐款的立法辩论将持续升温。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原文标题：New DeFi entrant widens field of crypto political campaign funds as elections loom</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原文链接：https：//www.coindesk.com/policy/2026/06/03/new-defi-entrant-widens-field-of-crypto-political-campaign-funds-as-elections-loom</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MoonPay推出MoonAgents桌面应用安全连接AI模型与加密钱包</w:t>
      </w:r>
    </w:p>
    <w:p>
      <w:pPr>
        <w:spacing w:before="0" w:after="0" w:line="240" w:lineRule="auto"/>
        <w:ind w:left="0" w:right="0" w:firstLine="0"/>
        <w:jc w:val="both"/>
      </w:pPr>
      <w:r>
        <w:rPr>
          <w:rFonts w:ascii="Times New Roman" w:hAnsi="Times New Roman" w:cs="Times New Roman" w:eastAsia="仿宋"/>
          <w:b w:val="0"/>
          <w:sz w:val="28"/>
        </w:rPr>
        <w:t>· MoonPay于2026年6月3日推出MoonAgents桌面应用，通过图形界面连接AI助手与加密钱包和区块链服务。</w:t>
      </w:r>
    </w:p>
    <w:p>
      <w:pPr>
        <w:spacing w:before="0" w:after="0" w:line="240" w:lineRule="auto"/>
        <w:ind w:left="0" w:right="0" w:firstLine="0"/>
        <w:jc w:val="both"/>
      </w:pPr>
      <w:r>
        <w:rPr>
          <w:rFonts w:ascii="Times New Roman" w:hAnsi="Times New Roman" w:cs="Times New Roman" w:eastAsia="仿宋"/>
          <w:b w:val="0"/>
          <w:sz w:val="28"/>
        </w:rPr>
        <w:t>· 该应用支持Anthropic的Claude和OpenAI的Codex等AI模型，允许它们直接发起区块链交易，并配备权限管理机制。</w:t>
      </w:r>
    </w:p>
    <w:p>
      <w:pPr>
        <w:spacing w:before="0" w:after="0" w:line="240" w:lineRule="auto"/>
        <w:ind w:left="0" w:right="0" w:firstLine="0"/>
        <w:jc w:val="both"/>
      </w:pPr>
      <w:r>
        <w:rPr>
          <w:rFonts w:ascii="Times New Roman" w:hAnsi="Times New Roman" w:cs="Times New Roman" w:eastAsia="仿宋"/>
          <w:b w:val="0"/>
          <w:sz w:val="28"/>
        </w:rPr>
        <w:t>· MoonAgents降低了非技术用户参与加密生态的门槛，标志着AI与加密基础设施集成进入新阶段。</w:t>
      </w:r>
    </w:p>
    <w:p>
      <w:pPr>
        <w:pStyle w:val="正文内容"/>
        <w:spacing w:before="0" w:after="0" w:line="240" w:lineRule="auto"/>
        <w:ind w:left="0" w:right="0" w:firstLine="560"/>
        <w:jc w:val="both"/>
      </w:pPr>
      <w:r>
        <w:rPr>
          <w:rFonts w:ascii="Times New Roman" w:hAnsi="Times New Roman" w:cs="Times New Roman" w:eastAsia="仿宋"/>
          <w:b w:val="0"/>
          <w:sz w:val="28"/>
        </w:rPr>
        <w:t>加密货币支付服务商MoonPay于2026年6月3日发布MoonAgents桌面应用，为AI模型提供与加密钱包和区块链服务交互的图形界面，支持Claude和Codex等AI助手执行交易操作，同时通过权限管理确保安全。</w:t>
      </w:r>
    </w:p>
    <w:p>
      <w:pPr>
        <w:pStyle w:val="正文内容"/>
        <w:spacing w:before="0" w:after="0" w:line="240" w:lineRule="auto"/>
        <w:ind w:left="0" w:right="0" w:firstLine="560"/>
        <w:jc w:val="both"/>
      </w:pPr>
      <w:r>
        <w:rPr>
          <w:rFonts w:ascii="Times New Roman" w:hAnsi="Times New Roman" w:cs="Times New Roman" w:eastAsia="仿宋"/>
          <w:b w:val="0"/>
          <w:sz w:val="28"/>
        </w:rPr>
        <w:t>MoonPay于2026年6月3日宣布推出MoonAgents桌面应用。该应用旨在通过图形界面连接AI助手与加密钱包和区块链服务。根据Decrypt的报道，MoonAgents支持Anthropic的Claude和OpenAI的Codex等AI模型，允许它们直接发起区块链交易，例如代币转账或智能合约调用，而无需用户手动输入复杂指令。</w:t>
      </w:r>
    </w:p>
    <w:p>
      <w:pPr>
        <w:pStyle w:val="正文内容"/>
        <w:spacing w:before="0" w:after="0" w:line="240" w:lineRule="auto"/>
        <w:ind w:left="0" w:right="0" w:firstLine="560"/>
        <w:jc w:val="both"/>
      </w:pPr>
      <w:r>
        <w:rPr>
          <w:rFonts w:ascii="Times New Roman" w:hAnsi="Times New Roman" w:cs="Times New Roman" w:eastAsia="仿宋"/>
          <w:b w:val="0"/>
          <w:sz w:val="28"/>
        </w:rPr>
        <w:t>MoonAgents的推出标志着加密基础设施与人工智能的进一步融合。MoonPay首席执行官表示，这一产品旨在降低非技术用户参与加密生态的门槛，使AI驱动的自动化操作变得更加便捷。用户可以通过图形界面授权AI助手执行特定的链上操作，并实时查看交易状态。</w:t>
      </w:r>
    </w:p>
    <w:p>
      <w:pPr>
        <w:pStyle w:val="正文内容"/>
        <w:spacing w:before="0" w:after="0" w:line="240" w:lineRule="auto"/>
        <w:ind w:left="0" w:right="0" w:firstLine="560"/>
        <w:jc w:val="both"/>
      </w:pPr>
      <w:r>
        <w:rPr>
          <w:rFonts w:ascii="Times New Roman" w:hAnsi="Times New Roman" w:cs="Times New Roman" w:eastAsia="仿宋"/>
          <w:b w:val="0"/>
          <w:sz w:val="28"/>
        </w:rPr>
        <w:t>在安全性方面，MoonAgents设计了细粒度的权限管理机制。用户可为连接的AI模型设置操作限额、交易频率和权限范围，确保交易在可控环境下执行。该应用采用本地桌面客户端模式，私钥存储在用户设备中，不经过第三方服务器，从而降低了数据泄露风险。</w:t>
      </w:r>
    </w:p>
    <w:p>
      <w:pPr>
        <w:pStyle w:val="正文内容"/>
        <w:spacing w:before="0" w:after="0" w:line="240" w:lineRule="auto"/>
        <w:ind w:left="0" w:right="0" w:firstLine="560"/>
        <w:jc w:val="both"/>
      </w:pPr>
      <w:r>
        <w:rPr>
          <w:rFonts w:ascii="Times New Roman" w:hAnsi="Times New Roman" w:cs="Times New Roman" w:eastAsia="仿宋"/>
          <w:b w:val="0"/>
          <w:sz w:val="28"/>
        </w:rPr>
        <w:t>支持的AI模型中，Claude由Anthropic开发，擅长自然语言处理；Codex由OpenAI推出，专注于代码生成。两者均能通过MoonAgents的应用程序编程接口（API，Application Programming Interface）与区块链交互。MoonPay表示，未来将支持更多AI平台和区块链网络，以扩大生态兼容性。</w:t>
      </w:r>
    </w:p>
    <w:p>
      <w:pPr>
        <w:pStyle w:val="正文内容"/>
        <w:spacing w:before="0" w:after="0" w:line="240" w:lineRule="auto"/>
        <w:ind w:left="0" w:right="0" w:firstLine="560"/>
        <w:jc w:val="both"/>
      </w:pPr>
      <w:r>
        <w:rPr>
          <w:rFonts w:ascii="Times New Roman" w:hAnsi="Times New Roman" w:cs="Times New Roman" w:eastAsia="仿宋"/>
          <w:b w:val="0"/>
          <w:sz w:val="28"/>
        </w:rPr>
        <w:t>MoonAgents的发布正值人工智能代理（AI agent）概念兴起之际。多家公司正在探索将大型语言模型与区块链结合，以实现自动化资产管理、去中心化金融服务等场景。MoonPay的解决方案提供了标准化的接口，可能加速这一趋势，推动Web3与AI的深度融合。</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MoonAgents为Web3开发者提供了新的工具，同时也为人工智能领域引入加密支付功能。随着AI代理自主执行交易的需求增长，类似的基础设施将变得日益重要。MoonPay作为成熟的法币-加密货币入口，其产品具备合规和用户体验优势，有望在竞争中占得先机。</w:t>
      </w:r>
    </w:p>
    <w:p>
      <w:pPr>
        <w:pStyle w:val="正文内容"/>
        <w:spacing w:before="0" w:after="0" w:line="240" w:lineRule="auto"/>
        <w:ind w:left="0" w:right="0" w:firstLine="560"/>
        <w:jc w:val="both"/>
      </w:pPr>
      <w:r>
        <w:rPr>
          <w:rFonts w:ascii="Times New Roman" w:hAnsi="Times New Roman" w:cs="Times New Roman" w:eastAsia="仿宋"/>
          <w:b w:val="0"/>
          <w:sz w:val="28"/>
        </w:rPr>
        <w:t>截至目前，MoonAgents已在官网开放下载，支持macOS和Windows操作系统。用户需要安装桌面应用并连接自己的加密钱包（如MetaMask或Ledger），随后即可授权AI助手执行操作。MoonPay计划在未来版本中增加移动端支持，并进一步优化用户体验。</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原文标题：MoonPay Brings Crypto Transactions to Claude and Codex With MoonAgents Desktop App</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原文链接：https：//decrypt.co/369746/moonpay-brings-crypto-transactions-claude-codex-moonagents</w:t>
      </w:r>
    </w:p>
    <w:p/>
    <w:p>
      <w:pPr>
        <w:pStyle w:val="文章一级标题"/>
        <w:spacing w:before="0" w:after="0" w:line="240" w:lineRule="auto"/>
        <w:ind w:left="0" w:right="0" w:firstLine="0"/>
        <w:jc w:val="center"/>
      </w:pPr>
      <w:r>
        <w:rPr>
          <w:rFonts w:ascii="Times New Roman" w:hAnsi="Times New Roman" w:cs="Times New Roman" w:eastAsia="黑体"/>
          <w:b w:val="0"/>
          <w:sz w:val="30"/>
        </w:rPr>
        <w:t>Trezor称用户加密资产在硬件漏洞曝光后依然安全</w:t>
      </w:r>
    </w:p>
    <w:p>
      <w:pPr>
        <w:spacing w:before="0" w:after="0" w:line="240" w:lineRule="auto"/>
        <w:ind w:left="0" w:right="0" w:firstLine="0"/>
        <w:jc w:val="both"/>
      </w:pPr>
      <w:r>
        <w:rPr>
          <w:rFonts w:ascii="Times New Roman" w:hAnsi="Times New Roman" w:cs="Times New Roman" w:eastAsia="仿宋"/>
          <w:b w:val="0"/>
          <w:sz w:val="28"/>
        </w:rPr>
        <w:t>· Ledger审计发现Trezor芯片漏洞仅影响一层安全防护，需物理接触才能利用</w:t>
      </w:r>
    </w:p>
    <w:p>
      <w:pPr>
        <w:spacing w:before="0" w:after="0" w:line="240" w:lineRule="auto"/>
        <w:ind w:left="0" w:right="0" w:firstLine="0"/>
        <w:jc w:val="both"/>
      </w:pPr>
      <w:r>
        <w:rPr>
          <w:rFonts w:ascii="Times New Roman" w:hAnsi="Times New Roman" w:cs="Times New Roman" w:eastAsia="仿宋"/>
          <w:b w:val="0"/>
          <w:sz w:val="28"/>
        </w:rPr>
        <w:t>· Trezor声明用户加密资产安全，因漏洞利用条件极其苛刻</w:t>
      </w:r>
    </w:p>
    <w:p>
      <w:pPr>
        <w:spacing w:before="0" w:after="0" w:line="240" w:lineRule="auto"/>
        <w:ind w:left="0" w:right="0" w:firstLine="0"/>
        <w:jc w:val="both"/>
      </w:pPr>
      <w:r>
        <w:rPr>
          <w:rFonts w:ascii="Times New Roman" w:hAnsi="Times New Roman" w:cs="Times New Roman" w:eastAsia="仿宋"/>
          <w:b w:val="0"/>
          <w:sz w:val="28"/>
        </w:rPr>
        <w:t>· 漏洞需要专用设备和高级专业知识，普通远程攻击无法实现</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2026年6月3日，硬件钱包制造商Trezor就Ledger研究人员审计暴露的硬件漏洞表示，用户加密资产安全，因为该漏洞仅影响钱包多个安全层之一，且需要物理接触、专用设备及高级技能才能利用。</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据CoinDesk报道，硬件钱包制造商Trezor针对竞争对手Ledger研究人员在审计中发现的芯片漏洞发表声明。Trezor强调，用户的加密资产是安全的，因为该漏洞仅影响硬件钱包多个安全层中的一层。这意味着即使该层被突破，其他安全机制仍能保护私钥和资产。</w:t>
      </w:r>
    </w:p>
    <w:p>
      <w:pPr>
        <w:pStyle w:val="正文内容"/>
        <w:spacing w:before="0" w:after="0" w:line="240" w:lineRule="auto"/>
        <w:ind w:left="0" w:right="0" w:firstLine="560"/>
        <w:jc w:val="both"/>
      </w:pPr>
      <w:r>
        <w:rPr>
          <w:rFonts w:ascii="Times New Roman" w:hAnsi="Times New Roman" w:cs="Times New Roman" w:eastAsia="仿宋"/>
          <w:b w:val="0"/>
          <w:sz w:val="28"/>
        </w:rPr>
        <w:t>漏洞的具体细节由Ledger研究人员披露。他们指出，攻击者需要物理接触受害者的Trezor设备，并配备专门工具及高级技术知识才能利用该漏洞。普通远程攻击无法实现，这大大降低了实际风险。Trezor在声明中确认了这一评估，并指出用户无需为此担忧。</w:t>
      </w:r>
    </w:p>
    <w:p>
      <w:pPr>
        <w:pStyle w:val="正文内容"/>
        <w:spacing w:before="0" w:after="0" w:line="240" w:lineRule="auto"/>
        <w:ind w:left="0" w:right="0" w:firstLine="560"/>
        <w:jc w:val="both"/>
      </w:pPr>
      <w:r>
        <w:rPr>
          <w:rFonts w:ascii="Times New Roman" w:hAnsi="Times New Roman" w:cs="Times New Roman" w:eastAsia="仿宋"/>
          <w:b w:val="0"/>
          <w:sz w:val="28"/>
        </w:rPr>
        <w:t>该漏洞被归类为硬件安全缺陷，属于芯片设计层面。但由于Trezor钱包采用了多层安全架构（multi-layer security architecture），单一漏洞的影响被显著限制。硬件钱包的设计初衷是通过离线存储私钥来隔绝网络威胁，而物理攻击需要极高的成本和技术门槛。</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截至2026年6月3日，Trezor尚未发布针对该漏洞的固件更新。公司表示正在评估是否需要采取修补措施，但由于利用条件苛刻，短期风险可控。用户只需确保物理设备不落入他人之手，即可有效防御此类攻击。</w:t>
      </w:r>
    </w:p>
    <w:p>
      <w:pPr>
        <w:pStyle w:val="正文内容"/>
        <w:spacing w:before="0" w:after="0" w:line="240" w:lineRule="auto"/>
        <w:ind w:left="0" w:right="0" w:firstLine="560"/>
        <w:jc w:val="both"/>
      </w:pPr>
      <w:r>
        <w:rPr>
          <w:rFonts w:ascii="Times New Roman" w:hAnsi="Times New Roman" w:cs="Times New Roman" w:eastAsia="仿宋"/>
          <w:b w:val="0"/>
          <w:sz w:val="28"/>
        </w:rPr>
        <w:t>此次审计事件发生在硬件钱包行业竞争加剧时期。Ledger研究人员主动审计对手产品并公开漏洞，体现了行业内的安全透明实践。虽然漏洞本身不严重，但它促使所有硬件钱包厂商重新审视自身安全架构，推动整体安全标准提升。</w:t>
      </w:r>
    </w:p>
    <w:p>
      <w:pPr>
        <w:pStyle w:val="正文内容"/>
        <w:spacing w:before="0" w:after="0" w:line="240" w:lineRule="auto"/>
        <w:ind w:left="0" w:right="0" w:firstLine="560"/>
        <w:jc w:val="both"/>
      </w:pPr>
      <w:r>
        <w:rPr>
          <w:rFonts w:ascii="Times New Roman" w:hAnsi="Times New Roman" w:cs="Times New Roman" w:eastAsia="仿宋"/>
          <w:b w:val="0"/>
          <w:sz w:val="28"/>
        </w:rPr>
        <w:t>总体而言，Trezor用户资产在此次漏洞曝光后仍然安全。该事件再次证明了硬件钱包多层防护设计的重要性，以及公开安全审计对提升行业整体安全水平的价值。用户应继续从官方渠道购买设备，并妥善保管硬件钱包以防范物理攻击风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原文标题：Trezor says your crypto is safe after Ledger audit exposes a hardware flaw</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原文链接：https：//www.coindesk.com/tech/2026/06/02/dnp-trezor-says-users-crypto-is-safe-after-ledger-researchers-uncover-chip-flaw</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多头加密押注损失16亿美元ETHSOLDOGE下跌9%</w:t>
      </w:r>
    </w:p>
    <w:p>
      <w:pPr>
        <w:spacing w:before="0" w:after="0" w:line="240" w:lineRule="auto"/>
        <w:ind w:left="0" w:right="0" w:firstLine="0"/>
        <w:jc w:val="both"/>
      </w:pPr>
      <w:r>
        <w:rPr>
          <w:rFonts w:ascii="Times New Roman" w:hAnsi="Times New Roman" w:cs="Times New Roman" w:eastAsia="仿宋"/>
          <w:b w:val="0"/>
          <w:sz w:val="28"/>
        </w:rPr>
        <w:t>· 2026年6月3日，加密货币市场多头押注大规模清算，总损失达16亿美元，ETH、SOL、DOGE价格下跌约9%。</w:t>
      </w:r>
    </w:p>
    <w:p>
      <w:pPr>
        <w:spacing w:before="0" w:after="0" w:line="240" w:lineRule="auto"/>
        <w:ind w:left="0" w:right="0" w:firstLine="0"/>
        <w:jc w:val="both"/>
      </w:pPr>
      <w:r>
        <w:rPr>
          <w:rFonts w:ascii="Times New Roman" w:hAnsi="Times New Roman" w:cs="Times New Roman" w:eastAsia="仿宋"/>
          <w:b w:val="0"/>
          <w:sz w:val="28"/>
        </w:rPr>
        <w:t>· 比特币多头承担8.83亿美元损失，以太坊多头损失4.75亿美元，两者合计占总额80%以上。</w:t>
      </w:r>
    </w:p>
    <w:p>
      <w:pPr>
        <w:spacing w:before="0" w:after="0" w:line="240" w:lineRule="auto"/>
        <w:ind w:left="0" w:right="0" w:firstLine="0"/>
        <w:jc w:val="both"/>
      </w:pPr>
      <w:r>
        <w:rPr>
          <w:rFonts w:ascii="Times New Roman" w:hAnsi="Times New Roman" w:cs="Times New Roman" w:eastAsia="仿宋"/>
          <w:b w:val="0"/>
          <w:sz w:val="28"/>
        </w:rPr>
        <w:t>· 剩余约3.9亿美元清算分布在HYPE、DOGE、SUI等代币，显示出杠杆多头广泛平仓。</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2026年6月3日，加密货币市场出现大规模多头清算，总损失达16亿美元，以太坊（ETH）、Solana（SOL）和狗狗币（DOGE）价格下跌约9%，比特币跌幅较小。</w:t>
      </w:r>
    </w:p>
    <w:p>
      <w:pPr>
        <w:pStyle w:val="正文内容"/>
        <w:spacing w:before="0" w:after="0" w:line="240" w:lineRule="auto"/>
        <w:ind w:left="0" w:right="0" w:firstLine="560"/>
        <w:jc w:val="both"/>
      </w:pPr>
      <w:r>
        <w:rPr>
          <w:rFonts w:ascii="Times New Roman" w:hAnsi="Times New Roman" w:cs="Times New Roman" w:eastAsia="仿宋"/>
          <w:b w:val="0"/>
          <w:sz w:val="28"/>
        </w:rPr>
        <w:t>根据CoinDesk报道，2026年6月3日，加密货币市场经历了一场大规模多头清算风暴。多头押注总损失高达16亿美元，其中以太坊（ETH）、Solana（SOL）和狗狗币（DOGE）价格均下跌约9%，市场情绪受到严重冲击。这一清算事件涉及多个主流数字资产，反映出杠杆交易者在价格下行时被迫平仓的连锁反应。</w:t>
      </w:r>
    </w:p>
    <w:p>
      <w:pPr>
        <w:pStyle w:val="正文内容"/>
        <w:spacing w:before="0" w:after="0" w:line="240" w:lineRule="auto"/>
        <w:ind w:left="0" w:right="0" w:firstLine="560"/>
        <w:jc w:val="both"/>
      </w:pPr>
      <w:r>
        <w:rPr>
          <w:rFonts w:ascii="Times New Roman" w:hAnsi="Times New Roman" w:cs="Times New Roman" w:eastAsia="仿宋"/>
          <w:b w:val="0"/>
          <w:sz w:val="28"/>
        </w:rPr>
        <w:t>数据显示，比特币多头头寸承受了最沉重的打击，共计损失8.8366亿美元；以太坊多头紧随其后，损失4.7573亿美元；Solana多头损失0.9118亿美元。剩余约3.9亿美元的清算分布在HYPE、DOGE、SUI等其他代币的多头头寸中。这些损失金额合计恰好与标题中的16亿美元相符，显示清算规模巨大。</w:t>
      </w:r>
    </w:p>
    <w:p>
      <w:pPr>
        <w:pStyle w:val="正文内容"/>
        <w:spacing w:before="0" w:after="0" w:line="240" w:lineRule="auto"/>
        <w:ind w:left="0" w:right="0" w:firstLine="560"/>
        <w:jc w:val="both"/>
      </w:pPr>
      <w:r>
        <w:rPr>
          <w:rFonts w:ascii="Times New Roman" w:hAnsi="Times New Roman" w:cs="Times New Roman" w:eastAsia="仿宋"/>
          <w:b w:val="0"/>
          <w:sz w:val="28"/>
        </w:rPr>
        <w:t>从清算分布来看，比特币和以太坊的多头损失占据了总损失的绝大部分，约83%，表明主流资产依然是杠杆交易者的主要集中地。Solana、狗狗币等替代币也未能幸免，跌幅与ETH相近，均达到约9%。此外，HYPE和SUI等代币也出现了显著的多头清算。</w:t>
      </w:r>
    </w:p>
    <w:p>
      <w:pPr>
        <w:pStyle w:val="正文内容"/>
        <w:spacing w:before="0" w:after="0" w:line="240" w:lineRule="auto"/>
        <w:ind w:left="0" w:right="0" w:firstLine="560"/>
        <w:jc w:val="both"/>
      </w:pPr>
      <w:r>
        <w:rPr>
          <w:rFonts w:ascii="Times New Roman" w:hAnsi="Times New Roman" w:cs="Times New Roman" w:eastAsia="仿宋"/>
          <w:b w:val="0"/>
          <w:sz w:val="28"/>
        </w:rPr>
        <w:t>此次清算事件发生前，市场可能已积累了大量杠杆多头头寸。随着价格下行，这些头寸的清算阈值被触发，引发连锁反应，进一步加剧了价格下跌。然而，具体触发因素尚不明确，报道未提供详细的宏观经济或监管背景。</w:t>
      </w:r>
    </w:p>
    <w:p>
      <w:pPr>
        <w:pStyle w:val="正文内容"/>
        <w:spacing w:before="0" w:after="0" w:line="240" w:lineRule="auto"/>
        <w:ind w:left="0" w:right="0" w:firstLine="560"/>
        <w:jc w:val="both"/>
      </w:pPr>
      <w:r>
        <w:rPr>
          <w:rFonts w:ascii="Times New Roman" w:hAnsi="Times New Roman" w:cs="Times New Roman" w:eastAsia="仿宋"/>
          <w:b w:val="0"/>
          <w:sz w:val="28"/>
        </w:rPr>
        <w:t>从市场影响看，16亿美元的多头损失在单日内被抹去，凸显了高杠杆策略的内在风险。CoinDesk的报道强调，这些清算数据基于各大交易所的公开信息，但未对后续市场走势做出预测。交易者需密切关注未平仓合约的变化，以防范类似事件再次发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原文标题：Bullish crypto bets lose $1.6 billion as ETH， SOL， DOGE drop 9%</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原文链接：https：//www.coindesk.com/markets/2026/06/03/bullish-crypto-bets-lose-usd1-6-billion-as-eth-sol-doge-drop-9</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比特币在67000美元企稳但周跌9.5%后面临关键抉择</w:t>
      </w:r>
    </w:p>
    <w:p>
      <w:pPr>
        <w:spacing w:before="0" w:after="0" w:line="240" w:lineRule="auto"/>
        <w:ind w:left="0" w:right="0" w:firstLine="0"/>
        <w:jc w:val="both"/>
      </w:pPr>
      <w:r>
        <w:rPr>
          <w:rFonts w:ascii="Times New Roman" w:hAnsi="Times New Roman" w:cs="Times New Roman" w:eastAsia="仿宋"/>
          <w:b w:val="0"/>
          <w:sz w:val="28"/>
        </w:rPr>
        <w:t>· 比特币在67000美元附近企稳，但过去七天累计跌幅达9.5%，市场正在消化近期抛压。</w:t>
      </w:r>
    </w:p>
    <w:p>
      <w:pPr>
        <w:spacing w:before="0" w:after="0" w:line="240" w:lineRule="auto"/>
        <w:ind w:left="0" w:right="0" w:firstLine="0"/>
        <w:jc w:val="both"/>
      </w:pPr>
      <w:r>
        <w:rPr>
          <w:rFonts w:ascii="Times New Roman" w:hAnsi="Times New Roman" w:cs="Times New Roman" w:eastAsia="仿宋"/>
          <w:b w:val="0"/>
          <w:sz w:val="28"/>
        </w:rPr>
        <w:t>· 美国股市创下历史新高，AI代币板块集体上涨，加密市场资金出现明显分流迹象。</w:t>
      </w:r>
    </w:p>
    <w:p>
      <w:pPr>
        <w:spacing w:before="0" w:after="0" w:line="240" w:lineRule="auto"/>
        <w:ind w:left="0" w:right="0" w:firstLine="0"/>
        <w:jc w:val="both"/>
      </w:pPr>
      <w:r>
        <w:rPr>
          <w:rFonts w:ascii="Times New Roman" w:hAnsi="Times New Roman" w:cs="Times New Roman" w:eastAsia="仿宋"/>
          <w:b w:val="0"/>
          <w:sz w:val="28"/>
        </w:rPr>
        <w:t>· Coinbase与Ethena达成交易，稳定币创新和DeFi叙事重新获得投资者关注。</w:t>
      </w:r>
    </w:p>
    <w:p>
      <w:pPr>
        <w:pStyle w:val="正文内容"/>
        <w:spacing w:before="0" w:after="0" w:line="240" w:lineRule="auto"/>
        <w:ind w:left="0" w:right="0" w:firstLine="560"/>
        <w:jc w:val="both"/>
      </w:pPr>
      <w:r>
        <w:rPr>
          <w:rFonts w:ascii="Times New Roman" w:hAnsi="Times New Roman" w:cs="Times New Roman" w:eastAsia="仿宋"/>
          <w:b w:val="0"/>
          <w:sz w:val="28"/>
        </w:rPr>
        <w:t>比特币在连续七日下跌后于2026年6月3日短暂企稳于67，000美元关口，但9.5%的周度跌幅凸显市场脆弱性，投资者正密切关注关键技术水平及宏观资金流向变化。</w:t>
      </w:r>
    </w:p>
    <w:p>
      <w:pPr>
        <w:pStyle w:val="正文内容"/>
        <w:spacing w:before="0" w:after="0" w:line="240" w:lineRule="auto"/>
        <w:ind w:left="0" w:right="0" w:firstLine="560"/>
        <w:jc w:val="both"/>
      </w:pPr>
      <w:r>
        <w:rPr>
          <w:rFonts w:ascii="Times New Roman" w:hAnsi="Times New Roman" w:cs="Times New Roman" w:eastAsia="仿宋"/>
          <w:b w:val="0"/>
          <w:sz w:val="28"/>
        </w:rPr>
        <w:t>根据CoinDesk于2026年6月3日发布的报道，比特币（Bitcoin，BTC）当日小幅回升至67，000美元附近，但这并未掩盖过去七天累计下跌9.5%的剧烈波动。此次回调使比特币自5月底以来的涨幅几乎完全回吐，技术面再次面临重要支撑位的考验。市场情绪从乐观转为谨慎，交易量较前期高点有所萎缩，显示多头力量暂时不足。</w:t>
      </w:r>
    </w:p>
    <w:p>
      <w:pPr>
        <w:pStyle w:val="正文内容"/>
        <w:spacing w:before="0" w:after="0" w:line="240" w:lineRule="auto"/>
        <w:ind w:left="0" w:right="0" w:firstLine="560"/>
        <w:jc w:val="both"/>
      </w:pPr>
      <w:r>
        <w:rPr>
          <w:rFonts w:ascii="Times New Roman" w:hAnsi="Times New Roman" w:cs="Times New Roman" w:eastAsia="仿宋"/>
          <w:b w:val="0"/>
          <w:sz w:val="28"/>
        </w:rPr>
        <w:t>在比特币承压的同时，传统金融市场却表现强劲。美国股市三大股指在2026年6月3日前后纷纷创下历史新高，科技股领涨。这吸引了部分从加密市场流出的资金，加剧了比特币的短期抛压。此外，人工智能（Artificial Intelligence，AI）相关代币本周出现集体飙涨行情，部分项目涨幅超过30%，进一步分流了原本属于主流加密资产的市场关注度和流动性。AI代币的崛起背后，是市场对AI技术与区块链融合预期的升温。</w:t>
      </w:r>
    </w:p>
    <w:p>
      <w:pPr>
        <w:pStyle w:val="正文内容"/>
        <w:spacing w:before="0" w:after="0" w:line="240" w:lineRule="auto"/>
        <w:ind w:left="0" w:right="0" w:firstLine="560"/>
        <w:jc w:val="both"/>
      </w:pPr>
      <w:r>
        <w:rPr>
          <w:rFonts w:ascii="Times New Roman" w:hAnsi="Times New Roman" w:cs="Times New Roman" w:eastAsia="仿宋"/>
          <w:b w:val="0"/>
          <w:sz w:val="28"/>
        </w:rPr>
        <w:t>另一个重要事件是Coinbase于2026年6月初宣布与Ethena达成战略交易。Ethena是一家专注于合成美元稳定币的协议，其创新机制允许用户在不依赖传统银行体系的情况下获取稳定收益。该交易立即成为加密社区焦点，市场认为这标志着中心化交易所与去中心化金融（Decentralized Finance，DeFi）生态的深度融合。稳定币赛道再次获得资本青睐，Ethena代币价格在消息公布后大幅上涨，同时也带动了DeFi板块的整体回暖。</w:t>
      </w:r>
    </w:p>
    <w:p>
      <w:pPr>
        <w:pStyle w:val="正文内容"/>
        <w:spacing w:before="0" w:after="0" w:line="240" w:lineRule="auto"/>
        <w:ind w:left="0" w:right="0" w:firstLine="560"/>
        <w:jc w:val="both"/>
      </w:pPr>
      <w:r>
        <w:rPr>
          <w:rFonts w:ascii="Times New Roman" w:hAnsi="Times New Roman" w:cs="Times New Roman" w:eastAsia="仿宋"/>
          <w:b w:val="0"/>
          <w:sz w:val="28"/>
        </w:rPr>
        <w:t>从技术分析角度看，67，000美元是比特币自3月以来多次确认的支撑位，若失守，下一关键支撑可能下移至62，000美元附近。然而，短期超卖信号和机构投资者的低位买盘也为比特币提供了一定支撑。分析师指出，当前价格区间是多空博弈的关键战场，方向性选择将决定未来数周的趋势。值得注意的是，比特币的未平仓合约量在下跌期间并未显著下降，表明衍生品市场仍有大量头寸被锁定，一旦方向明朗，可能引发剧烈波动。</w:t>
      </w:r>
    </w:p>
    <w:p>
      <w:pPr>
        <w:pStyle w:val="正文内容"/>
        <w:spacing w:before="0" w:after="0" w:line="240" w:lineRule="auto"/>
        <w:ind w:left="0" w:right="0" w:firstLine="560"/>
        <w:jc w:val="both"/>
      </w:pPr>
      <w:r>
        <w:rPr>
          <w:rFonts w:ascii="Times New Roman" w:hAnsi="Times New Roman" w:cs="Times New Roman" w:eastAsia="仿宋"/>
          <w:b w:val="0"/>
          <w:sz w:val="28"/>
        </w:rPr>
        <w:t>宏观层面，美联储的货币政策预期仍是影响风险资产的核心变量。2026年6月初公布的就业数据低于预期，强化了市场对美联储暂停加息的押注，这理论上利好比特币。但美股创新高和AI代币的热潮却在分流资金，导致比特币未能充分受益于宽松预期。后续观察的重点包括：Coinbase与Ethena合作是否会引发更广泛的DeFi复兴、美国证券交易委员会（SEC）对加密监管的最新表态，以及比特币能否在月底前站稳70，000美元关口。投资者需警惕短期波动加剧的风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steadies at $67，000， faces critical juncture after sliding 9.5% in seven days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原文链接：https：//www.coindesk.com/markets/2026/06/03/bitcoin-steadies-at-usd67-000-faces-critical-juncture-after-sliding-9-5-in-seven-days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加密长与短美国消费者怎么办</w:t>
      </w:r>
    </w:p>
    <w:p>
      <w:pPr>
        <w:spacing w:before="0" w:after="0" w:line="240" w:lineRule="auto"/>
        <w:ind w:left="0" w:right="0" w:firstLine="0"/>
        <w:jc w:val="both"/>
      </w:pPr>
      <w:r>
        <w:rPr>
          <w:rFonts w:ascii="Times New Roman" w:hAnsi="Times New Roman" w:cs="Times New Roman" w:eastAsia="仿宋"/>
          <w:b w:val="0"/>
          <w:sz w:val="28"/>
        </w:rPr>
        <w:t>· CLARITY法案对加密货币分类提出明确规则，影响美国投资者保护与市场发展。</w:t>
      </w:r>
    </w:p>
    <w:p>
      <w:pPr>
        <w:spacing w:before="0" w:after="0" w:line="240" w:lineRule="auto"/>
        <w:ind w:left="0" w:right="0" w:firstLine="0"/>
        <w:jc w:val="both"/>
      </w:pPr>
      <w:r>
        <w:rPr>
          <w:rFonts w:ascii="Times New Roman" w:hAnsi="Times New Roman" w:cs="Times New Roman" w:eastAsia="仿宋"/>
          <w:b w:val="0"/>
          <w:sz w:val="28"/>
        </w:rPr>
        <w:t>· 法案可能增加合规成本，但为消费者提供更清晰的监管框架。</w:t>
      </w:r>
    </w:p>
    <w:p>
      <w:pPr>
        <w:spacing w:before="0" w:after="0" w:line="240" w:lineRule="auto"/>
        <w:ind w:left="0" w:right="0" w:firstLine="0"/>
        <w:jc w:val="both"/>
      </w:pPr>
      <w:r>
        <w:rPr>
          <w:rFonts w:ascii="Times New Roman" w:hAnsi="Times New Roman" w:cs="Times New Roman" w:eastAsia="仿宋"/>
          <w:b w:val="0"/>
          <w:sz w:val="28"/>
        </w:rPr>
        <w:t>· 消费者需注意新规下资产托管与交易披露要求的变化。</w:t>
      </w:r>
    </w:p>
    <w:p>
      <w:pPr>
        <w:pStyle w:val="正文内容"/>
        <w:spacing w:before="0" w:after="0" w:line="240" w:lineRule="auto"/>
        <w:ind w:left="0" w:right="0" w:firstLine="560"/>
        <w:jc w:val="both"/>
      </w:pPr>
      <w:r>
        <w:rPr>
          <w:rFonts w:ascii="Times New Roman" w:hAnsi="Times New Roman" w:cs="Times New Roman" w:eastAsia="仿宋"/>
          <w:b w:val="0"/>
          <w:sz w:val="28"/>
        </w:rPr>
        <w:t>本文讨论CLARITY法案如何重塑美国消费者在加密市场中的角色与权益。</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2026年6月3日，CoinDesk发布专栏文章《Crypto Long &amp; Short： What about the American consumer？》，探讨CLARITY法案（Cryptocurrency Licensing， Accountability， and Risk Transparency Act）对美国普通加密用户的影响。该法案旨在明确数字资产的分类标准，将大部分加密货币视为商品而非证券，由商品期货交易委员会（CFTC）监管。这一转变被认为有助于减少监管不确定性，但同时也对消费者保护机制提出了新挑战。</w:t>
      </w:r>
    </w:p>
    <w:p>
      <w:pPr>
        <w:pStyle w:val="正文内容"/>
        <w:spacing w:before="0" w:after="0" w:line="240" w:lineRule="auto"/>
        <w:ind w:left="0" w:right="0" w:firstLine="560"/>
        <w:jc w:val="both"/>
      </w:pPr>
      <w:r>
        <w:rPr>
          <w:rFonts w:ascii="Times New Roman" w:hAnsi="Times New Roman" w:cs="Times New Roman" w:eastAsia="仿宋"/>
          <w:b w:val="0"/>
          <w:sz w:val="28"/>
        </w:rPr>
        <w:t>文章指出，CLARITY法案的核心在于改变现有监管格局，让消费者在交易时面临更清晰的规则。例如，交易所需要向用户披露更多关于资产风险、托管安排以及清算流程的信息。这虽然增加了运营成本，但理论上能减少欺诈和误导行为。然而，作者质疑，对于散户投资者而言，信息过载可能反而导致混淆，甚至因合规成本上升而推高交易费用。</w:t>
      </w:r>
    </w:p>
    <w:p>
      <w:pPr>
        <w:pStyle w:val="正文内容"/>
        <w:spacing w:before="0" w:after="0" w:line="240" w:lineRule="auto"/>
        <w:ind w:left="0" w:right="0" w:firstLine="560"/>
        <w:jc w:val="both"/>
      </w:pPr>
      <w:r>
        <w:rPr>
          <w:rFonts w:ascii="Times New Roman" w:hAnsi="Times New Roman" w:cs="Times New Roman" w:eastAsia="仿宋"/>
          <w:b w:val="0"/>
          <w:sz w:val="28"/>
        </w:rPr>
        <w:t>另一个关键点涉及消费者资金安全。法案要求加密托管机构必须遵守更严格的资产隔离与审计规则，类似传统金融中的保管要求。这有助于防止类似FTX事件中客户资产被挪用的情况。但作者提醒，小型交易所可能因无法承担合规费用而退出市场，导致竞争减少，消费者选择有限。此外，自我托管（self-custody）的消费者可能面临更复杂的税务报告义务。</w:t>
      </w:r>
    </w:p>
    <w:p>
      <w:pPr>
        <w:pStyle w:val="正文内容"/>
        <w:spacing w:before="0" w:after="0" w:line="240" w:lineRule="auto"/>
        <w:ind w:left="0" w:right="0" w:firstLine="560"/>
        <w:jc w:val="both"/>
      </w:pPr>
      <w:r>
        <w:rPr>
          <w:rFonts w:ascii="Times New Roman" w:hAnsi="Times New Roman" w:cs="Times New Roman" w:eastAsia="仿宋"/>
          <w:b w:val="0"/>
          <w:sz w:val="28"/>
        </w:rPr>
        <w:t>文章还关注到普通投资者在诉讼与纠纷解决中的处境。CLARITY法案鼓励通过仲裁解决争议，但消费者权益团体认为这削弱了集体诉讼的权利。作者建议，消费者在选择平台时应仔细阅读服务条款，理解争端解决机制。同时，法案对去中心化金融（DeFi）项目的豁免条款可能产生漏洞，使部分高风险产品脱离监管视野。</w:t>
      </w:r>
    </w:p>
    <w:p>
      <w:pPr>
        <w:pStyle w:val="正文内容"/>
        <w:spacing w:before="0" w:after="0" w:line="240" w:lineRule="auto"/>
        <w:ind w:left="0" w:right="0" w:firstLine="560"/>
        <w:jc w:val="both"/>
      </w:pPr>
      <w:r>
        <w:rPr>
          <w:rFonts w:ascii="Times New Roman" w:hAnsi="Times New Roman" w:cs="Times New Roman" w:eastAsia="仿宋"/>
          <w:b w:val="0"/>
          <w:sz w:val="28"/>
        </w:rPr>
        <w:t>总体而言，CLARITY法案在保护消费者与促进创新之间寻求平衡。专栏作者认为，尽管新规初期可能带来不适，但其长期利好在于为美国加密市场建立可信赖的基石。消费者需要主动学习新规则，而监管机构应确保过渡期平稳，避免过度惩罚散户。这一法案的最终效果仍取决于具体执行细节与法院的司法解释。</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 Long &amp; Short： What about the American consumer？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原文链接：https：//www.coindesk.com/coindesk-indices/2026/06/03/crypto-long-and-short-what-about-the-american-consumer</w:t>
      </w:r>
    </w:p>
    <w:p/>
    <w:p>
      <w:pPr>
        <w:pStyle w:val="文章一级标题"/>
        <w:spacing w:before="0" w:after="0" w:line="240" w:lineRule="auto"/>
        <w:ind w:left="0" w:right="0" w:firstLine="0"/>
        <w:jc w:val="center"/>
      </w:pPr>
      <w:r>
        <w:rPr>
          <w:rFonts w:ascii="Times New Roman" w:hAnsi="Times New Roman" w:cs="Times New Roman" w:eastAsia="黑体"/>
          <w:b w:val="0"/>
          <w:sz w:val="30"/>
        </w:rPr>
        <w:t>分析师称以太坊在触底前可能再跌25%</w:t>
      </w:r>
    </w:p>
    <w:p>
      <w:pPr>
        <w:spacing w:before="0" w:after="0" w:line="240" w:lineRule="auto"/>
        <w:ind w:left="0" w:right="0" w:firstLine="0"/>
        <w:jc w:val="both"/>
      </w:pPr>
      <w:r>
        <w:rPr>
          <w:rFonts w:ascii="Times New Roman" w:hAnsi="Times New Roman" w:cs="Times New Roman" w:eastAsia="仿宋"/>
          <w:b w:val="0"/>
          <w:sz w:val="28"/>
        </w:rPr>
        <w:t>· 技术图表显示以太坊可能从当前价位进一步下跌25%才能触及底部</w:t>
      </w:r>
    </w:p>
    <w:p>
      <w:pPr>
        <w:spacing w:before="0" w:after="0" w:line="240" w:lineRule="auto"/>
        <w:ind w:left="0" w:right="0" w:firstLine="0"/>
        <w:jc w:val="both"/>
      </w:pPr>
      <w:r>
        <w:rPr>
          <w:rFonts w:ascii="Times New Roman" w:hAnsi="Times New Roman" w:cs="Times New Roman" w:eastAsia="仿宋"/>
          <w:b w:val="0"/>
          <w:sz w:val="28"/>
        </w:rPr>
        <w:t>· 关键支撑位在2000美元附近，若跌破可能加速下行</w:t>
      </w:r>
    </w:p>
    <w:p>
      <w:pPr>
        <w:spacing w:before="0" w:after="0" w:line="240" w:lineRule="auto"/>
        <w:ind w:left="0" w:right="0" w:firstLine="0"/>
        <w:jc w:val="both"/>
      </w:pPr>
      <w:r>
        <w:rPr>
          <w:rFonts w:ascii="Times New Roman" w:hAnsi="Times New Roman" w:cs="Times New Roman" w:eastAsia="仿宋"/>
          <w:b w:val="0"/>
          <w:sz w:val="28"/>
        </w:rPr>
        <w:t>· 市场情绪与宏观因素共同施压，短期反弹或有限</w:t>
      </w:r>
    </w:p>
    <w:p>
      <w:pPr>
        <w:pStyle w:val="正文内容"/>
        <w:spacing w:before="0" w:after="0" w:line="240" w:lineRule="auto"/>
        <w:ind w:left="0" w:right="0" w:firstLine="560"/>
        <w:jc w:val="both"/>
      </w:pPr>
      <w:r>
        <w:rPr>
          <w:rFonts w:ascii="Times New Roman" w:hAnsi="Times New Roman" w:cs="Times New Roman" w:eastAsia="仿宋"/>
          <w:b w:val="0"/>
          <w:sz w:val="28"/>
        </w:rPr>
        <w:t>Decrypt在2026年6月3日发布的技术分析指出，以太坊（ETH）价格可能再跌25%才能找到底部，引发市场对短期走势的担忧。</w:t>
      </w:r>
    </w:p>
    <w:p>
      <w:pPr>
        <w:pStyle w:val="正文内容"/>
        <w:spacing w:before="0" w:after="0" w:line="240" w:lineRule="auto"/>
        <w:ind w:left="0" w:right="0" w:firstLine="560"/>
        <w:jc w:val="both"/>
      </w:pPr>
      <w:r>
        <w:rPr>
          <w:rFonts w:ascii="Times New Roman" w:hAnsi="Times New Roman" w:cs="Times New Roman" w:eastAsia="仿宋"/>
          <w:b w:val="0"/>
          <w:sz w:val="28"/>
        </w:rPr>
        <w:t>Decrypt于2026年6月3日发表的技术分析报告认为，以太坊（Ethereum，ETH）价格在真正触底前可能还有25%的下跌空间。该分析基于多种技术指标，包括相对强弱指数（Relative Strength Index，RSI）、移动平均线（Moving Average，MA）以及斐波那契回撤位。数据显示，以太坊自2026年初高点以来已下跌约40%，但图表形态暗示下行趋势尚未结束。</w:t>
      </w:r>
    </w:p>
    <w:p>
      <w:pPr>
        <w:pStyle w:val="正文内容"/>
        <w:spacing w:before="0" w:after="0" w:line="240" w:lineRule="auto"/>
        <w:ind w:left="0" w:right="0" w:firstLine="560"/>
        <w:jc w:val="both"/>
      </w:pPr>
      <w:r>
        <w:rPr>
          <w:rFonts w:ascii="Times New Roman" w:hAnsi="Times New Roman" w:cs="Times New Roman" w:eastAsia="仿宋"/>
          <w:b w:val="0"/>
          <w:sz w:val="28"/>
        </w:rPr>
        <w:t>分析师指出，以太坊在4000美元上方形成双顶结构后，价格持续走低。当前关键支撑位于2000美元心理关口附近，若该位被有效跌破，下一目标可能指向1500美元区域，即再跌约25%。历史上，以太坊在经历类似调整后，往往需要数月时间才能重建底部，因此投资者不宜急于抄底。</w:t>
      </w:r>
    </w:p>
    <w:p>
      <w:pPr>
        <w:pStyle w:val="正文内容"/>
        <w:spacing w:before="0" w:after="0" w:line="240" w:lineRule="auto"/>
        <w:ind w:left="0" w:right="0" w:firstLine="560"/>
        <w:jc w:val="both"/>
      </w:pPr>
      <w:r>
        <w:rPr>
          <w:rFonts w:ascii="Times New Roman" w:hAnsi="Times New Roman" w:cs="Times New Roman" w:eastAsia="仿宋"/>
          <w:b w:val="0"/>
          <w:sz w:val="28"/>
        </w:rPr>
        <w:t>市场情绪方面，恐惧与贪婪指数（Fear &amp; Greed Index）已跌至20以下，处于“极度恐惧”区间。这通常被视为反向指标，但此次抛售压力可能来自多个因素：一是美联储加息预期持续压制风险资产，二是以太坊链上活跃地址数下降，显示需求减弱。此外，比特币（Bitcoin，BTC）的弱势也拖累整体加密市场。</w:t>
      </w:r>
    </w:p>
    <w:p>
      <w:pPr>
        <w:pStyle w:val="正文内容"/>
        <w:spacing w:before="0" w:after="0" w:line="240" w:lineRule="auto"/>
        <w:ind w:left="0" w:right="0" w:firstLine="560"/>
        <w:jc w:val="both"/>
      </w:pPr>
      <w:r>
        <w:rPr>
          <w:rFonts w:ascii="Times New Roman" w:hAnsi="Times New Roman" w:cs="Times New Roman" w:eastAsia="仿宋"/>
          <w:b w:val="0"/>
          <w:sz w:val="28"/>
        </w:rPr>
        <w:t>宏观层面，美国十年期国债收益率攀升至4.5%以上，资金从高风险资产流出。同时，以太坊ETF在2026年第二季度的净流入显著放缓，机构买盘不足以支撑价格。技术指标中的死亡交叉（50日均线下穿200日均线）进一步确认了看跌趋势。</w:t>
      </w:r>
    </w:p>
    <w:p>
      <w:pPr>
        <w:pStyle w:val="正文内容"/>
        <w:spacing w:before="0" w:after="0" w:line="240" w:lineRule="auto"/>
        <w:ind w:left="0" w:right="0" w:firstLine="560"/>
        <w:jc w:val="both"/>
      </w:pPr>
      <w:r>
        <w:rPr>
          <w:rFonts w:ascii="Times New Roman" w:hAnsi="Times New Roman" w:cs="Times New Roman" w:eastAsia="仿宋"/>
          <w:b w:val="0"/>
          <w:sz w:val="28"/>
        </w:rPr>
        <w:t>需要注意的是，技术分析并非精确预测，市场可能因突发事件而反转。分析师建议投资者关注链上数据，例如交易所持仓量（Exchange Reserve）和稳定币市值占比，以判断底部是否形成。若以太坊能在当前水平放量企稳，则可能构建W底形态，否则持续阴跌的风险更高。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原文标题：Why Ethereum Could Tank Another 25% Before Finding a Bottom： Analysis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原文链接：https：//decrypt.co/369926/ethereum-eth-price-25-percent-bottom-technical-analysis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10:17 至 2026-06-04 10:17（北京时间，最近3天）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