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美国CLARITY法案年内签署前景转淡</w:t>
      </w:r>
    </w:p>
    <w:p>
      <w:pPr>
        <w:pStyle w:val="ListParagraph"/>
        <w:spacing w:before="0" w:after="0" w:line="360" w:lineRule="auto"/>
        <w:ind w:left="0" w:firstLine="0"/>
      </w:pPr>
      <w:r>
        <w:rPr>
          <w:rFonts w:ascii="Times New Roman" w:hAnsi="Times New Roman" w:cs="Times New Roman" w:eastAsia="楷体"/>
          <w:b w:val="0"/>
          <w:sz w:val="28"/>
        </w:rPr>
        <w:t>· 台湾立法机构通过首部加密货币与稳定币法规</w:t>
      </w:r>
    </w:p>
    <w:p>
      <w:pPr>
        <w:pStyle w:val="ListParagraph"/>
        <w:spacing w:before="0" w:after="0" w:line="360" w:lineRule="auto"/>
        <w:ind w:left="0" w:firstLine="0"/>
      </w:pPr>
      <w:r>
        <w:rPr>
          <w:rFonts w:ascii="Times New Roman" w:hAnsi="Times New Roman" w:cs="Times New Roman" w:eastAsia="楷体"/>
          <w:b w:val="0"/>
          <w:sz w:val="28"/>
        </w:rPr>
        <w:t>· 澳大利亚加密旅行规则7月1日正式生效与国际反洗钱标准对齐</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纽约人寿投资管理公司推出首个代币化债券基金</w:t>
      </w:r>
    </w:p>
    <w:p>
      <w:pPr>
        <w:pStyle w:val="ListParagraph"/>
        <w:spacing w:before="0" w:after="0" w:line="360" w:lineRule="auto"/>
        <w:ind w:left="0" w:firstLine="0"/>
      </w:pPr>
      <w:r>
        <w:rPr>
          <w:rFonts w:ascii="Times New Roman" w:hAnsi="Times New Roman" w:cs="Times New Roman" w:eastAsia="楷体"/>
          <w:b w:val="0"/>
          <w:sz w:val="28"/>
        </w:rPr>
        <w:t>· 最小化BitVM2合约部署指南构建去信任比特币桥</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加密ETF单日净流出2.527亿美元比特币与以太坊资金持续撤离</w:t>
      </w:r>
    </w:p>
    <w:p>
      <w:pPr>
        <w:pStyle w:val="ListParagraph"/>
        <w:spacing w:before="0" w:after="0" w:line="360" w:lineRule="auto"/>
        <w:ind w:left="0" w:firstLine="0"/>
      </w:pPr>
      <w:r>
        <w:rPr>
          <w:rFonts w:ascii="Times New Roman" w:hAnsi="Times New Roman" w:cs="Times New Roman" w:eastAsia="楷体"/>
          <w:b w:val="0"/>
          <w:sz w:val="28"/>
        </w:rPr>
        <w:t>· Circle股价跳水因Coinbase、贝莱德、Visa等联合推出OpenUSD稳定币</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Strategy资本重组能否终结“死亡螺旋”担忧</w:t>
      </w:r>
    </w:p>
    <w:p>
      <w:pPr>
        <w:pStyle w:val="ListParagraph"/>
        <w:spacing w:before="0" w:after="0" w:line="360" w:lineRule="auto"/>
        <w:ind w:left="0" w:firstLine="0"/>
      </w:pPr>
      <w:r>
        <w:rPr>
          <w:rFonts w:ascii="Times New Roman" w:hAnsi="Times New Roman" w:cs="Times New Roman" w:eastAsia="楷体"/>
          <w:b w:val="0"/>
          <w:sz w:val="28"/>
        </w:rPr>
        <w:t>· Jefferies警告ClarityAct面临参议院考验加密市场波动或将加剧</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美国CLARITY法案年内签署前景转淡</w:t>
      </w:r>
    </w:p>
    <w:p>
      <w:pPr>
        <w:spacing w:before="0" w:after="0" w:line="240" w:lineRule="auto"/>
        <w:ind w:left="0" w:right="0" w:firstLine="0"/>
        <w:jc w:val="both"/>
      </w:pPr>
      <w:r>
        <w:rPr>
          <w:rFonts w:ascii="Times New Roman" w:hAnsi="Times New Roman" w:cs="Times New Roman" w:eastAsia="仿宋"/>
          <w:b w:val="0"/>
          <w:sz w:val="28"/>
        </w:rPr>
        <w:t>· 《数字资产市场清晰法案》（CLARITY Act）不再被广泛预期将在今年签署成为法律，原因是参议院延误、政策纠纷未决以及2026年中期选举日程压缩了最终通过路径。</w:t>
      </w:r>
    </w:p>
    <w:p>
      <w:pPr>
        <w:spacing w:before="0" w:after="0" w:line="240" w:lineRule="auto"/>
        <w:ind w:left="0" w:right="0" w:firstLine="0"/>
        <w:jc w:val="both"/>
      </w:pPr>
      <w:r>
        <w:rPr>
          <w:rFonts w:ascii="Times New Roman" w:hAnsi="Times New Roman" w:cs="Times New Roman" w:eastAsia="仿宋"/>
          <w:b w:val="0"/>
          <w:sz w:val="28"/>
        </w:rPr>
        <w:t>· Galaxy Research最近将该法案今年签署成法的概率估计在约50%至更低区间，此前曾给出更高概率；预测市场也转向怀疑，年底前签署的相关合约定价为失败概率更高。</w:t>
      </w:r>
    </w:p>
    <w:p>
      <w:pPr>
        <w:spacing w:before="0" w:after="0" w:line="240" w:lineRule="auto"/>
        <w:ind w:left="0" w:right="0" w:firstLine="0"/>
        <w:jc w:val="both"/>
      </w:pPr>
      <w:r>
        <w:rPr>
          <w:rFonts w:ascii="Times New Roman" w:hAnsi="Times New Roman" w:cs="Times New Roman" w:eastAsia="仿宋"/>
          <w:b w:val="0"/>
          <w:sz w:val="28"/>
        </w:rPr>
        <w:t>· 参议院有限日程成为关键障碍：若法案未能在8月休会前推进，年内成法机会将大幅减弱；中期选举周期预计将主导立法注意力。</w:t>
      </w:r>
    </w:p>
    <w:p>
      <w:pPr>
        <w:pStyle w:val="正文内容"/>
        <w:spacing w:before="0" w:after="0" w:line="240" w:lineRule="auto"/>
        <w:ind w:left="0" w:right="0" w:firstLine="560"/>
        <w:jc w:val="both"/>
      </w:pPr>
      <w:r>
        <w:rPr>
          <w:rFonts w:ascii="Times New Roman" w:hAnsi="Times New Roman" w:cs="Times New Roman" w:eastAsia="仿宋"/>
          <w:b w:val="0"/>
          <w:sz w:val="28"/>
        </w:rPr>
        <w:t>美国加密行业最重要的市场结构法案——《数字资产市场清晰法案》（Digital Asset Market Clarity Act，CLARITY Act）已不再被广泛预期将在今年签署成为法律。参议院延误、未解决的政策分歧以及2026年中期选举日程，共同收窄了最终通过的道路。该法案旨在为加密市场创建联邦框架，明确数字资产何时属于证券或商品规则，并厘清证券交易委员会（SEC）与商品期货交易委员会（CFTC）的职责。</w:t>
      </w:r>
    </w:p>
    <w:p>
      <w:pPr>
        <w:pStyle w:val="正文内容"/>
        <w:spacing w:before="0" w:after="0" w:line="240" w:lineRule="auto"/>
        <w:ind w:left="0" w:right="0" w:firstLine="560"/>
        <w:jc w:val="both"/>
      </w:pPr>
      <w:r>
        <w:rPr>
          <w:rFonts w:ascii="Times New Roman" w:hAnsi="Times New Roman" w:cs="Times New Roman" w:eastAsia="仿宋"/>
          <w:b w:val="0"/>
          <w:sz w:val="28"/>
        </w:rPr>
        <w:t>该法案此前被视为行业摆脱“监管执法”模式、走向涵盖交易所、经纪商、代币发行方及去中心化金融（DeFi）的法定体制的最佳机会。今年早些时候，加密政策分析师仍认为2026年有现实的通过路径。但Galaxy Research最近将法案今年签署成法的概率估计在约50%左右甚至更低，此前曾给出更高概率。预测市场也转向怀疑，与年底前签署相关的合约定价为更可能失败而非通过。</w:t>
      </w:r>
    </w:p>
    <w:p>
      <w:pPr>
        <w:pStyle w:val="正文内容"/>
        <w:spacing w:before="0" w:after="0" w:line="240" w:lineRule="auto"/>
        <w:ind w:left="0" w:right="0" w:firstLine="560"/>
        <w:jc w:val="both"/>
      </w:pPr>
      <w:r>
        <w:rPr>
          <w:rFonts w:ascii="Times New Roman" w:hAnsi="Times New Roman" w:cs="Times New Roman" w:eastAsia="仿宋"/>
          <w:b w:val="0"/>
          <w:sz w:val="28"/>
        </w:rPr>
        <w:t>立法问题的核心在于时间安排。该法案仍需在参议院获得通过，处理参议院农业委员会单独管辖权的相关工作，协调参议院版本与众议院已通过的文本，并最终送达总统签署。每一步都需要谈判、全院审议时间和程序协调，而议员们已经面临拨款、提名、国家安全议题以及选举年政治。</w:t>
      </w:r>
    </w:p>
    <w:p>
      <w:pPr>
        <w:pStyle w:val="正文内容"/>
        <w:spacing w:before="0" w:after="0" w:line="240" w:lineRule="auto"/>
        <w:ind w:left="0" w:right="0" w:firstLine="560"/>
        <w:jc w:val="both"/>
      </w:pPr>
      <w:r>
        <w:rPr>
          <w:rFonts w:ascii="Times New Roman" w:hAnsi="Times New Roman" w:cs="Times New Roman" w:eastAsia="仿宋"/>
          <w:b w:val="0"/>
          <w:sz w:val="28"/>
        </w:rPr>
        <w:t>CLARITY法案的政策支持仍然显著，但仅凭支持可能不够。众议院已获得两党支持并通过其版本，特朗普政府也支持数字资产立法作为其更广泛的亲加密议程的一部分。然而，参议院进展缓慢，议员们仍在几个政治敏感条款上存在分歧。</w:t>
      </w:r>
    </w:p>
    <w:p>
      <w:pPr>
        <w:pStyle w:val="正文内容"/>
        <w:spacing w:before="0" w:after="0" w:line="240" w:lineRule="auto"/>
        <w:ind w:left="0" w:right="0" w:firstLine="560"/>
        <w:jc w:val="both"/>
      </w:pPr>
      <w:r>
        <w:rPr>
          <w:rFonts w:ascii="Times New Roman" w:hAnsi="Times New Roman" w:cs="Times New Roman" w:eastAsia="仿宋"/>
          <w:b w:val="0"/>
          <w:sz w:val="28"/>
        </w:rPr>
        <w:t>未解决的问题包括：稳定币奖励、去中心化金融责任、非托管软件开发者待遇、市场中介注册以及与公职人员从加密风险投资中获利的道德规则。民主党人还推动加强投资者保护和反洗钱条款，而共和党人及行业团体则警告规则可能将活动推向海外。</w:t>
      </w:r>
    </w:p>
    <w:p>
      <w:pPr>
        <w:pStyle w:val="正文内容"/>
        <w:spacing w:before="0" w:after="0" w:line="240" w:lineRule="auto"/>
        <w:ind w:left="0" w:right="0" w:firstLine="560"/>
        <w:jc w:val="both"/>
      </w:pPr>
      <w:r>
        <w:rPr>
          <w:rFonts w:ascii="Times New Roman" w:hAnsi="Times New Roman" w:cs="Times New Roman" w:eastAsia="仿宋"/>
          <w:b w:val="0"/>
          <w:sz w:val="28"/>
        </w:rPr>
        <w:t>参议院有限日程现已成为核心风险。如果法案在8月休会前未能推进，年底前成为法律的机会将急剧减弱。此后，中期选举周期预计将主导立法注意力，使推进复杂的金融市场立法更加困难。</w:t>
      </w:r>
    </w:p>
    <w:p>
      <w:pPr>
        <w:pStyle w:val="正文内容"/>
        <w:spacing w:before="0" w:after="0" w:line="240" w:lineRule="auto"/>
        <w:ind w:left="0" w:right="0" w:firstLine="560"/>
        <w:jc w:val="both"/>
      </w:pPr>
      <w:r>
        <w:rPr>
          <w:rFonts w:ascii="Times New Roman" w:hAnsi="Times New Roman" w:cs="Times New Roman" w:eastAsia="仿宋"/>
          <w:b w:val="0"/>
          <w:sz w:val="28"/>
        </w:rPr>
        <w:t>对于加密行业而言，2026年时间线的消退是一个挫折。交易所、托管机构、代币发行方和DeFi开发者认为，缺乏明确的联邦规则造成法律不确定性，阻碍机构参与，并使得市场监督依赖于机构解释。CLARITY法案的延迟将使现有碎片化体系持续存在。</w:t>
      </w:r>
    </w:p>
    <w:p>
      <w:pPr>
        <w:pStyle w:val="正文内容"/>
        <w:spacing w:before="0" w:after="0" w:line="240" w:lineRule="auto"/>
        <w:ind w:left="0" w:right="0" w:firstLine="560"/>
        <w:jc w:val="both"/>
      </w:pPr>
      <w:r>
        <w:rPr>
          <w:rFonts w:ascii="Times New Roman" w:hAnsi="Times New Roman" w:cs="Times New Roman" w:eastAsia="仿宋"/>
          <w:b w:val="0"/>
          <w:sz w:val="28"/>
        </w:rPr>
        <w:t>SEC将继续对许多数字资产主张证券管辖权，而CFTC对现货加密市场的权限仍主要限于欺诈和操纵。法院判决、机构指导及执法优先事项将继续比全面法规更多地塑造市场。市场影响显著，因为监管清晰度一直是美国加密股票、代币发行方和机构基础设施提供商最强的政策催化剂之一。</w:t>
      </w:r>
    </w:p>
    <w:p>
      <w:pPr>
        <w:pStyle w:val="正文内容"/>
        <w:spacing w:before="0" w:after="0" w:line="240" w:lineRule="auto"/>
        <w:ind w:left="0" w:right="0" w:firstLine="560"/>
        <w:jc w:val="both"/>
      </w:pPr>
      <w:r>
        <w:rPr>
          <w:rFonts w:ascii="Times New Roman" w:hAnsi="Times New Roman" w:cs="Times New Roman" w:eastAsia="仿宋"/>
          <w:b w:val="0"/>
          <w:sz w:val="28"/>
        </w:rPr>
        <w:t>政治背景也在变化。加密公司在2026年选举周期投入巨资，但如果参议院谈判仍无结果，这种影响力可能无法立即转化为立法。若中期选举后国会控制权易手，该法案可能需要在2027年重新开放、重写或重新提出。CLARITY法案并非死亡，但已不再被视为2026年近乎确定的胜利。目前，行业推动美国市场结构立法的努力已从预期突破变为时间竞赛。</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CLARITY Act No Longer Projected to Be Signed Into Law This Year</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原文链接：https://financefeeds.com/crypto-clarity-act-no-longer-projected-to-be-signed-into-law-this-year/</w:t>
      </w:r>
    </w:p>
    <w:p/>
    <w:p>
      <w:pPr>
        <w:pStyle w:val="文章一级标题"/>
        <w:spacing w:before="0" w:after="0" w:line="240" w:lineRule="auto"/>
        <w:ind w:left="0" w:right="0" w:firstLine="0"/>
        <w:jc w:val="center"/>
      </w:pPr>
      <w:r>
        <w:rPr>
          <w:rFonts w:ascii="Times New Roman" w:hAnsi="Times New Roman" w:cs="Times New Roman" w:eastAsia="黑体"/>
          <w:b w:val="0"/>
          <w:sz w:val="30"/>
        </w:rPr>
        <w:t>台湾立法机构通过首部加密货币与稳定币法规</w:t>
      </w:r>
    </w:p>
    <w:p>
      <w:pPr>
        <w:spacing w:before="0" w:after="0" w:line="240" w:lineRule="auto"/>
        <w:ind w:left="0" w:right="0" w:firstLine="0"/>
        <w:jc w:val="both"/>
      </w:pPr>
      <w:r>
        <w:rPr>
          <w:rFonts w:ascii="Times New Roman" w:hAnsi="Times New Roman" w:cs="Times New Roman" w:eastAsia="仿宋"/>
          <w:b w:val="0"/>
          <w:sz w:val="28"/>
        </w:rPr>
        <w:t>· 台湾立法机构（立法院）通过该国首部加密货币和稳定币法律，旨在使台湾与全球加密市场接轨。</w:t>
      </w:r>
    </w:p>
    <w:p>
      <w:pPr>
        <w:spacing w:before="0" w:after="0" w:line="240" w:lineRule="auto"/>
        <w:ind w:left="0" w:right="0" w:firstLine="0"/>
        <w:jc w:val="both"/>
      </w:pPr>
      <w:r>
        <w:rPr>
          <w:rFonts w:ascii="Times New Roman" w:hAnsi="Times New Roman" w:cs="Times New Roman" w:eastAsia="仿宋"/>
          <w:b w:val="0"/>
          <w:sz w:val="28"/>
        </w:rPr>
        <w:t>· 法律要求所有虚拟资产服务提供商（VASP）须获得金融监管委员会（FSC）批准方可运营。</w:t>
      </w:r>
    </w:p>
    <w:p>
      <w:pPr>
        <w:spacing w:before="0" w:after="0" w:line="240" w:lineRule="auto"/>
        <w:ind w:left="0" w:right="0" w:firstLine="0"/>
        <w:jc w:val="both"/>
      </w:pPr>
      <w:r>
        <w:rPr>
          <w:rFonts w:ascii="Times New Roman" w:hAnsi="Times New Roman" w:cs="Times New Roman" w:eastAsia="仿宋"/>
          <w:b w:val="0"/>
          <w:sz w:val="28"/>
        </w:rPr>
        <w:t>· 在台湾发行的稳定币须获中央银行和FSC批准，发行方须以信托方式维持充足储备并接受定期审计。</w:t>
      </w:r>
    </w:p>
    <w:p>
      <w:pPr>
        <w:pStyle w:val="正文内容"/>
        <w:spacing w:before="0" w:after="0" w:line="240" w:lineRule="auto"/>
        <w:ind w:left="0" w:right="0" w:firstLine="560"/>
        <w:jc w:val="both"/>
      </w:pPr>
      <w:r>
        <w:rPr>
          <w:rFonts w:ascii="Times New Roman" w:hAnsi="Times New Roman" w:cs="Times New Roman" w:eastAsia="仿宋"/>
          <w:b w:val="0"/>
          <w:sz w:val="28"/>
        </w:rPr>
        <w:t>台湾立法机构于7月1日通过该国首部加密货币及稳定币法规，旨在推动台湾与全球加密市场接轨。此举使台湾与日本、新加坡和香港等已通过类似法规的地区看齐。台湾金融监管机构金融监督管理委员会（FSC）表示，立法院通过的法律要求所有虚拟资产服务提供商（VASP）须获得该监管机构的批准方可运营。</w:t>
      </w:r>
    </w:p>
    <w:p>
      <w:pPr>
        <w:pStyle w:val="正文内容"/>
        <w:spacing w:before="0" w:after="0" w:line="240" w:lineRule="auto"/>
        <w:ind w:left="0" w:right="0" w:firstLine="560"/>
        <w:jc w:val="both"/>
      </w:pPr>
      <w:r>
        <w:rPr>
          <w:rFonts w:ascii="Times New Roman" w:hAnsi="Times New Roman" w:cs="Times New Roman" w:eastAsia="仿宋"/>
          <w:b w:val="0"/>
          <w:sz w:val="28"/>
        </w:rPr>
        <w:t>法律还将稳定币纳入监管框架——在台湾发行的稳定币须获得台湾中央银行和FSC的批准，发行方须以信托方式维持充足储备并接受定期审计。FSC称，该法案进一步强化了交易者权利的保护，发行稳定币将有助于台湾与国际市场接轨，并在全球加密市场中占据一席之地。</w:t>
      </w:r>
    </w:p>
    <w:p>
      <w:pPr>
        <w:pStyle w:val="正文内容"/>
        <w:spacing w:before="0" w:after="0" w:line="240" w:lineRule="auto"/>
        <w:ind w:left="0" w:right="0" w:firstLine="560"/>
        <w:jc w:val="both"/>
      </w:pPr>
      <w:r>
        <w:rPr>
          <w:rFonts w:ascii="Times New Roman" w:hAnsi="Times New Roman" w:cs="Times New Roman" w:eastAsia="仿宋"/>
          <w:b w:val="0"/>
          <w:sz w:val="28"/>
        </w:rPr>
        <w:t>台湾的法规将VASP划分为七种类型，包括交易所、交易平台、托管机构和借贷平台等。这些机构均须遵守内部控制与审计、网络安全系统、加密货币上市和退市规则、客户资产隔离以及财务报告等方面的规定。</w:t>
      </w:r>
    </w:p>
    <w:p>
      <w:pPr>
        <w:pStyle w:val="正文内容"/>
        <w:spacing w:before="0" w:after="0" w:line="240" w:lineRule="auto"/>
        <w:ind w:left="0" w:right="0" w:firstLine="560"/>
        <w:jc w:val="both"/>
      </w:pPr>
      <w:r>
        <w:rPr>
          <w:rFonts w:ascii="Times New Roman" w:hAnsi="Times New Roman" w:cs="Times New Roman" w:eastAsia="仿宋"/>
          <w:b w:val="0"/>
          <w:sz w:val="28"/>
        </w:rPr>
        <w:t>法规明确禁止基于加密货币的欺诈和价格操纵行为，违者将面临3至10年监禁，并处以约1000万新台币（约30万美元）至2亿新台币（约630万美元）的罚款。此外，未经牌照擅自经营VASP或发行稳定币者，最高可判处7年有期徒刑，并处以最高1亿新台币（约310万美元）的罚金——据台湾中央通讯社CNA同日报道。</w:t>
      </w:r>
    </w:p>
    <w:p>
      <w:pPr>
        <w:pStyle w:val="正文内容"/>
        <w:spacing w:before="0" w:after="0" w:line="240" w:lineRule="auto"/>
        <w:ind w:left="0" w:right="0" w:firstLine="560"/>
        <w:jc w:val="both"/>
      </w:pPr>
      <w:r>
        <w:rPr>
          <w:rFonts w:ascii="Times New Roman" w:hAnsi="Times New Roman" w:cs="Times New Roman" w:eastAsia="仿宋"/>
          <w:b w:val="0"/>
          <w:sz w:val="28"/>
        </w:rPr>
        <w:t>该法案的实施日期尚未确定，法律将在政府行政机构公布后正式生效。FSC表示，在法案实施前已完成反洗钱登记的VASP，以及在该机构下提供相关服务的机构，应在法案实施后12个月内申请牌照。</w:t>
      </w:r>
    </w:p>
    <w:p>
      <w:pPr>
        <w:pStyle w:val="正文内容"/>
        <w:spacing w:before="0" w:after="0" w:line="240" w:lineRule="auto"/>
        <w:ind w:left="0" w:right="0" w:firstLine="560"/>
        <w:jc w:val="both"/>
      </w:pPr>
      <w:r>
        <w:rPr>
          <w:rFonts w:ascii="Times New Roman" w:hAnsi="Times New Roman" w:cs="Times New Roman" w:eastAsia="仿宋"/>
          <w:b w:val="0"/>
          <w:sz w:val="28"/>
        </w:rPr>
        <w:t>CNA报道称，立法委员还通过了一项决议，要求FSC在一年内提出一项计划，说明加密行业如何提供加密衍生品商品服务，旨在提供多元化投资并改善行业健康。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原文标题：Taiwan’s legislature passes crypto， stablecoin regulations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原文链接：https://cointelegraph.com/news/taiwans-legislature-passes-crypto-regulation-licensing-laws</w:t>
      </w:r>
    </w:p>
    <w:p/>
    <w:p>
      <w:pPr>
        <w:pStyle w:val="文章一级标题"/>
        <w:spacing w:before="0" w:after="0" w:line="240" w:lineRule="auto"/>
        <w:ind w:left="0" w:right="0" w:firstLine="0"/>
        <w:jc w:val="center"/>
      </w:pPr>
      <w:r>
        <w:rPr>
          <w:rFonts w:ascii="Times New Roman" w:hAnsi="Times New Roman" w:cs="Times New Roman" w:eastAsia="黑体"/>
          <w:b w:val="0"/>
          <w:sz w:val="30"/>
        </w:rPr>
        <w:t>澳大利亚加密旅行规则7月1日正式生效与国际反洗钱标准对齐</w:t>
      </w:r>
    </w:p>
    <w:p>
      <w:pPr>
        <w:spacing w:before="0" w:after="0" w:line="240" w:lineRule="auto"/>
        <w:ind w:left="0" w:right="0" w:firstLine="0"/>
        <w:jc w:val="both"/>
      </w:pPr>
      <w:r>
        <w:rPr>
          <w:rFonts w:ascii="Times New Roman" w:hAnsi="Times New Roman" w:cs="Times New Roman" w:eastAsia="仿宋"/>
          <w:b w:val="0"/>
          <w:sz w:val="28"/>
        </w:rPr>
        <w:t>· 澳大利亚加密货币旅行规则于2026年7月1日正式生效，要求虚拟资产服务提供商（VASP）收集并交换转账双方信息。</w:t>
      </w:r>
    </w:p>
    <w:p>
      <w:pPr>
        <w:spacing w:before="0" w:after="0" w:line="240" w:lineRule="auto"/>
        <w:ind w:left="0" w:right="0" w:firstLine="0"/>
        <w:jc w:val="both"/>
      </w:pPr>
      <w:r>
        <w:rPr>
          <w:rFonts w:ascii="Times New Roman" w:hAnsi="Times New Roman" w:cs="Times New Roman" w:eastAsia="仿宋"/>
          <w:b w:val="0"/>
          <w:sz w:val="28"/>
        </w:rPr>
        <w:t>· 该规则是澳大利亚反洗钱（AML）和反恐融资（CTF）改革的一部分，与金融行动特别工作组（FATF）建议16保持一致。</w:t>
      </w:r>
    </w:p>
    <w:p>
      <w:pPr>
        <w:spacing w:before="0" w:after="0" w:line="240" w:lineRule="auto"/>
        <w:ind w:left="0" w:right="0" w:firstLine="0"/>
        <w:jc w:val="both"/>
      </w:pPr>
      <w:r>
        <w:rPr>
          <w:rFonts w:ascii="Times New Roman" w:hAnsi="Times New Roman" w:cs="Times New Roman" w:eastAsia="仿宋"/>
          <w:b w:val="0"/>
          <w:sz w:val="28"/>
        </w:rPr>
        <w:t>· 大多数零售用户不会感受到重大变化，信息交换主要在服务提供商后台进行。</w:t>
      </w:r>
    </w:p>
    <w:p>
      <w:pPr>
        <w:pStyle w:val="正文内容"/>
        <w:spacing w:before="0" w:after="0" w:line="240" w:lineRule="auto"/>
        <w:ind w:left="0" w:right="0" w:firstLine="560"/>
        <w:jc w:val="both"/>
      </w:pPr>
      <w:r>
        <w:rPr>
          <w:rFonts w:ascii="Times New Roman" w:hAnsi="Times New Roman" w:cs="Times New Roman" w:eastAsia="仿宋"/>
          <w:b w:val="0"/>
          <w:sz w:val="28"/>
        </w:rPr>
        <w:t>澳大利亚期待已久的加密货币旅行规则于7月1日正式生效，要求虚拟资产服务提供商（VASP）在加密货币转账中收集并交换发送方和接收方信息。该措施是澳大利亚更广泛反洗钱（AML）和反恐融资（CTF）改革的一部分，使澳大利亚数字资产框架更接近金融行动特别工作组（FATF）设定的国际标准。</w:t>
      </w:r>
    </w:p>
    <w:p>
      <w:pPr>
        <w:pStyle w:val="正文内容"/>
        <w:spacing w:before="0" w:after="0" w:line="240" w:lineRule="auto"/>
        <w:ind w:left="0" w:right="0" w:firstLine="560"/>
        <w:jc w:val="both"/>
      </w:pPr>
      <w:r>
        <w:rPr>
          <w:rFonts w:ascii="Times New Roman" w:hAnsi="Times New Roman" w:cs="Times New Roman" w:eastAsia="仿宋"/>
          <w:b w:val="0"/>
          <w:sz w:val="28"/>
        </w:rPr>
        <w:t>加密货币旅行规则适用于现有和新受监管的虚拟资产服务提供商，包括加密货币交易所、托管商以及代表客户促进数字资产转移的企业。该规则是澳大利亚全面修订的AML/CTF框架的一部分，该框架于今年早些时候开始推出。虽然大多数改革于3月31日生效，但监管机构在2026年7月1日使旅行规则合规变为强制之前，给予了加密行业额外三个月的过渡期。</w:t>
      </w:r>
    </w:p>
    <w:p>
      <w:pPr>
        <w:pStyle w:val="正文内容"/>
        <w:spacing w:before="0" w:after="0" w:line="240" w:lineRule="auto"/>
        <w:ind w:left="0" w:right="0" w:firstLine="560"/>
        <w:jc w:val="both"/>
      </w:pPr>
      <w:r>
        <w:rPr>
          <w:rFonts w:ascii="Times New Roman" w:hAnsi="Times New Roman" w:cs="Times New Roman" w:eastAsia="仿宋"/>
          <w:b w:val="0"/>
          <w:sz w:val="28"/>
        </w:rPr>
        <w:t>改革由澳大利亚金融情报机构——澳大利亚交易报告和分析中心（AUSTRAC）监督。在实施前发布的指导中，AUSTRAC表示：“这意味着在2026年7月1日之前，您无需遵守虚拟资产转账的旅行规则义务。”延期旨在给企业时间更新合规系统、培训员工并集成所需的技术基础设施，以便安全地在服务提供商之间交换客户信息。</w:t>
      </w:r>
    </w:p>
    <w:p>
      <w:pPr>
        <w:pStyle w:val="正文内容"/>
        <w:spacing w:before="0" w:after="0" w:line="240" w:lineRule="auto"/>
        <w:ind w:left="0" w:right="0" w:firstLine="560"/>
        <w:jc w:val="both"/>
      </w:pPr>
      <w:r>
        <w:rPr>
          <w:rFonts w:ascii="Times New Roman" w:hAnsi="Times New Roman" w:cs="Times New Roman" w:eastAsia="仿宋"/>
          <w:b w:val="0"/>
          <w:sz w:val="28"/>
        </w:rPr>
        <w:t>从7月1日起，澳大利亚VASP必须在受监管实体之间的虚拟资产转账中附带传输关键客户信息。这包括发送方和接收方的身份信息，使对手方能够验证交易，并帮助当局追踪潜在的非法资金流动。该规则镜像了FATF建议16（通常称为旅行规则），要求金融机构和加密服务提供商在价值转移时交换客户信息。</w:t>
      </w:r>
    </w:p>
    <w:p>
      <w:pPr>
        <w:pStyle w:val="正文内容"/>
        <w:spacing w:before="0" w:after="0" w:line="240" w:lineRule="auto"/>
        <w:ind w:left="0" w:right="0" w:firstLine="560"/>
        <w:jc w:val="both"/>
      </w:pPr>
      <w:r>
        <w:rPr>
          <w:rFonts w:ascii="Times New Roman" w:hAnsi="Times New Roman" w:cs="Times New Roman" w:eastAsia="仿宋"/>
          <w:b w:val="0"/>
          <w:sz w:val="28"/>
        </w:rPr>
        <w:t>澳大利亚加入了一个不断扩大的司法管辖区名单，包括欧盟、英国、新加坡和日本，这些地区已实施或扩展了数字资产业务的旅行规则要求。改革还扩大了受监管虚拟资产服务的定义，超出了传统加密交易所，涵盖了额外的托管和转移服务，显著扩大了受AUSTRAC监督的企业数量。</w:t>
      </w:r>
    </w:p>
    <w:p>
      <w:pPr>
        <w:pStyle w:val="正文内容"/>
        <w:spacing w:before="0" w:after="0" w:line="240" w:lineRule="auto"/>
        <w:ind w:left="0" w:right="0" w:firstLine="560"/>
        <w:jc w:val="both"/>
      </w:pPr>
      <w:r>
        <w:rPr>
          <w:rFonts w:ascii="Times New Roman" w:hAnsi="Times New Roman" w:cs="Times New Roman" w:eastAsia="仿宋"/>
          <w:b w:val="0"/>
          <w:sz w:val="28"/>
        </w:rPr>
        <w:t>尽管改革为加密公司引入了额外的合规义务，但大多数零售用户不太可能经历重大变化。客户有时可能会被要求提供关于加密转账接收方或发送方的额外信息，特别是在受监管交易所或钱包之间转移资产时。然而，大部分所需的信息交换将在服务提供商之间幕后进行。</w:t>
      </w:r>
    </w:p>
    <w:p>
      <w:pPr>
        <w:pStyle w:val="正文内容"/>
        <w:spacing w:before="0" w:after="0" w:line="240" w:lineRule="auto"/>
        <w:ind w:left="0" w:right="0" w:firstLine="560"/>
        <w:jc w:val="both"/>
      </w:pPr>
      <w:r>
        <w:rPr>
          <w:rFonts w:ascii="Times New Roman" w:hAnsi="Times New Roman" w:cs="Times New Roman" w:eastAsia="仿宋"/>
          <w:b w:val="0"/>
          <w:sz w:val="28"/>
        </w:rPr>
        <w:t>澳大利亚交易所Block Earner解释说，加密旅行规则在发送和接收加密货币时引入了“额外要求”，但表示已将这些要求集成到其平台中，以最大程度地减少对用户的干扰。对于在国际上运营的加密企业，随着更多司法管辖区采用类似框架来交换旅行规则数据，这些变化也可能简化跨境合规工作。</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原文标题：Australia’s Crypto Travel Rule Officially Takes Effect on July 1， Aligning With Global AML Standards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原文链接：https://financefeeds.com/australia-crypto-travel-rule-takes-effect/</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纽约人寿投资管理公司推出首个代币化债券基金</w:t>
      </w:r>
    </w:p>
    <w:p>
      <w:pPr>
        <w:spacing w:before="0" w:after="0" w:line="240" w:lineRule="auto"/>
        <w:ind w:left="0" w:right="0" w:firstLine="0"/>
        <w:jc w:val="both"/>
      </w:pPr>
      <w:r>
        <w:rPr>
          <w:rFonts w:ascii="Times New Roman" w:hAnsi="Times New Roman" w:cs="Times New Roman" w:eastAsia="仿宋"/>
          <w:b w:val="0"/>
          <w:sz w:val="28"/>
        </w:rPr>
        <w:t>· 纽约人寿投资管理公司（New York Life Investment Management）与区块链平台 Centrifuge 合作，推出其首个代币化基金——NYLIM Anemoy 美国高收益公司债隔离投资组合（代码HYB）。</w:t>
      </w:r>
    </w:p>
    <w:p>
      <w:pPr>
        <w:spacing w:before="0" w:after="0" w:line="240" w:lineRule="auto"/>
        <w:ind w:left="0" w:right="0" w:firstLine="0"/>
        <w:jc w:val="both"/>
      </w:pPr>
      <w:r>
        <w:rPr>
          <w:rFonts w:ascii="Times New Roman" w:hAnsi="Times New Roman" w:cs="Times New Roman" w:eastAsia="仿宋"/>
          <w:b w:val="0"/>
          <w:sz w:val="28"/>
        </w:rPr>
        <w:t>· 该基金保持原有投资流程不变，但合格投资者可通过 Centrifuge 平台以 USDC 稳定币进行链上认购和赎回。</w:t>
      </w:r>
    </w:p>
    <w:p>
      <w:pPr>
        <w:spacing w:before="0" w:after="0" w:line="240" w:lineRule="auto"/>
        <w:ind w:left="0" w:right="0" w:firstLine="0"/>
        <w:jc w:val="both"/>
      </w:pPr>
      <w:r>
        <w:rPr>
          <w:rFonts w:ascii="Times New Roman" w:hAnsi="Times New Roman" w:cs="Times New Roman" w:eastAsia="仿宋"/>
          <w:b w:val="0"/>
          <w:sz w:val="28"/>
        </w:rPr>
        <w:t>· 此举标志着华尔街机构越来越多地探索代币化，以现代化运营并接入 DeFi 市场。</w:t>
      </w:r>
    </w:p>
    <w:p>
      <w:pPr>
        <w:pStyle w:val="正文内容"/>
        <w:spacing w:before="0" w:after="0" w:line="240" w:lineRule="auto"/>
        <w:ind w:left="0" w:right="0" w:firstLine="560"/>
        <w:jc w:val="both"/>
      </w:pPr>
      <w:r>
        <w:rPr>
          <w:rFonts w:ascii="Times New Roman" w:hAnsi="Times New Roman" w:cs="Times New Roman" w:eastAsia="仿宋"/>
          <w:b w:val="0"/>
          <w:sz w:val="28"/>
        </w:rPr>
        <w:t>纽约人寿投资管理公司（New York Life Investment Management，NYLIM）与代币化平台 Centrifuge 合作，推出其首个代币化产品——NYLIM Anemoy 美国高收益公司债隔离投资组合（NYLIM Anemoy U.S. High Yield Corporate Bond Segregated Portfolio），交易代码 HYB。NYLIM 管理资产约 8070 亿美元。该基金是 NYLIM 的首个代币化产品，也是最早将高收益债券基金引入公共区块链基础设施的尝试之一。</w:t>
      </w:r>
    </w:p>
    <w:p>
      <w:pPr>
        <w:pStyle w:val="正文内容"/>
        <w:spacing w:before="0" w:after="0" w:line="240" w:lineRule="auto"/>
        <w:ind w:left="0" w:right="0" w:firstLine="560"/>
        <w:jc w:val="both"/>
      </w:pPr>
      <w:r>
        <w:rPr>
          <w:rFonts w:ascii="Times New Roman" w:hAnsi="Times New Roman" w:cs="Times New Roman" w:eastAsia="仿宋"/>
          <w:b w:val="0"/>
          <w:sz w:val="28"/>
        </w:rPr>
        <w:t>根据安排，NYLIM 现有的高收益策略——包括投资流程和风险管理——保持不变，但合格投资者可通过 Centrifuge 平台发行的代币进行购买，申购和赎回以稳定币 USDC 结算。</w:t>
      </w:r>
    </w:p>
    <w:p>
      <w:pPr>
        <w:pStyle w:val="正文内容"/>
        <w:spacing w:before="0" w:after="0" w:line="240" w:lineRule="auto"/>
        <w:ind w:left="0" w:right="0" w:firstLine="560"/>
        <w:jc w:val="both"/>
      </w:pPr>
      <w:r>
        <w:rPr>
          <w:rFonts w:ascii="Times New Roman" w:hAnsi="Times New Roman" w:cs="Times New Roman" w:eastAsia="仿宋"/>
          <w:b w:val="0"/>
          <w:sz w:val="28"/>
        </w:rPr>
        <w:t>NYLIM 多资产解决方案主管 Thomas Sy 在声明中表示，代币化反映了投资者对“透明度、效率和更广泛市场参与”的需求，并认为区块链基础设施是对其传统平台的补充而非替代。</w:t>
      </w:r>
    </w:p>
    <w:p>
      <w:pPr>
        <w:pStyle w:val="正文内容"/>
        <w:spacing w:before="0" w:after="0" w:line="240" w:lineRule="auto"/>
        <w:ind w:left="0" w:right="0" w:firstLine="560"/>
        <w:jc w:val="both"/>
      </w:pPr>
      <w:r>
        <w:rPr>
          <w:rFonts w:ascii="Times New Roman" w:hAnsi="Times New Roman" w:cs="Times New Roman" w:eastAsia="仿宋"/>
          <w:b w:val="0"/>
          <w:sz w:val="28"/>
        </w:rPr>
        <w:t>Centrifuge 联合创始人 Anil Sood 将这笔交易视为将机构基金迁移到更“透明”和“可组合”的数字轨道上的更广泛推动的一部分，而非一次性的产品发布。</w:t>
      </w:r>
    </w:p>
    <w:p>
      <w:pPr>
        <w:pStyle w:val="正文内容"/>
        <w:spacing w:before="0" w:after="0" w:line="240" w:lineRule="auto"/>
        <w:ind w:left="0" w:right="0" w:firstLine="560"/>
        <w:jc w:val="both"/>
      </w:pPr>
      <w:r>
        <w:rPr>
          <w:rFonts w:ascii="Times New Roman" w:hAnsi="Times New Roman" w:cs="Times New Roman" w:eastAsia="仿宋"/>
          <w:b w:val="0"/>
          <w:sz w:val="28"/>
        </w:rPr>
        <w:t>Centrifuge 已为其他大型资产管理公司提供代币化基础设施，包括 Apollo Global Management 和 Janus Henderson。</w:t>
      </w:r>
    </w:p>
    <w:p>
      <w:pPr>
        <w:pStyle w:val="正文内容"/>
        <w:spacing w:before="0" w:after="0" w:line="240" w:lineRule="auto"/>
        <w:ind w:left="0" w:right="0" w:firstLine="560"/>
        <w:jc w:val="both"/>
      </w:pPr>
      <w:r>
        <w:rPr>
          <w:rFonts w:ascii="Times New Roman" w:hAnsi="Times New Roman" w:cs="Times New Roman" w:eastAsia="仿宋"/>
          <w:b w:val="0"/>
          <w:sz w:val="28"/>
        </w:rPr>
        <w:t>公司表示，该基金不向美国人士或在美国境内提供，这凸显了监管谨慎性如何继续影响传统资产管理公司对代币化产品的试验。</w:t>
      </w:r>
    </w:p>
    <w:p>
      <w:pPr>
        <w:pStyle w:val="正文内容"/>
        <w:spacing w:before="0" w:after="0" w:line="240" w:lineRule="auto"/>
        <w:ind w:left="0" w:right="0" w:firstLine="560"/>
        <w:jc w:val="both"/>
      </w:pPr>
      <w:r>
        <w:rPr>
          <w:rFonts w:ascii="Times New Roman" w:hAnsi="Times New Roman" w:cs="Times New Roman" w:eastAsia="仿宋"/>
          <w:b w:val="0"/>
          <w:sz w:val="28"/>
        </w:rPr>
        <w:t>这笔交易发生在华尔街公司越来越多地探索代币化之际，代币化是将传统金融资产作为区块链上的数字代币发行，以现代化后台运营并可能扩大对在去中心化金融（DeFi）市场中操作的新类别投资者的机构级投资策略的准入。</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原文标题：New York Life Investment Management Debuts First Tokenized Bond Fund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原文链接：https://decrypt.co/372457/new-york-life-investment-management-first-tokenized-bond-fund</w:t>
      </w:r>
    </w:p>
    <w:p/>
    <w:p>
      <w:pPr>
        <w:pStyle w:val="文章一级标题"/>
        <w:spacing w:before="0" w:after="0" w:line="240" w:lineRule="auto"/>
        <w:ind w:left="0" w:right="0" w:firstLine="0"/>
        <w:jc w:val="center"/>
      </w:pPr>
      <w:r>
        <w:rPr>
          <w:rFonts w:ascii="Times New Roman" w:hAnsi="Times New Roman" w:cs="Times New Roman" w:eastAsia="黑体"/>
          <w:b w:val="0"/>
          <w:sz w:val="30"/>
        </w:rPr>
        <w:t>最小化BitVM2合约部署指南构建去信任比特币桥</w:t>
      </w:r>
    </w:p>
    <w:p>
      <w:pPr>
        <w:spacing w:before="0" w:after="0" w:line="240" w:lineRule="auto"/>
        <w:ind w:left="0" w:right="0" w:firstLine="0"/>
        <w:jc w:val="both"/>
      </w:pPr>
      <w:r>
        <w:rPr>
          <w:rFonts w:ascii="Times New Roman" w:hAnsi="Times New Roman" w:cs="Times New Roman" w:eastAsia="仿宋"/>
          <w:b w:val="0"/>
          <w:sz w:val="28"/>
        </w:rPr>
        <w:t>· BitVM2能够在无需更改比特币协议的情况下实现信任最小化的比特币桥。</w:t>
      </w:r>
    </w:p>
    <w:p>
      <w:pPr>
        <w:spacing w:before="0" w:after="0" w:line="240" w:lineRule="auto"/>
        <w:ind w:left="0" w:right="0" w:firstLine="0"/>
        <w:jc w:val="both"/>
      </w:pPr>
      <w:r>
        <w:rPr>
          <w:rFonts w:ascii="Times New Roman" w:hAnsi="Times New Roman" w:cs="Times New Roman" w:eastAsia="仿宋"/>
          <w:b w:val="0"/>
          <w:sz w:val="28"/>
        </w:rPr>
        <w:t>· 最小化BitVM2合约仅聚焦于必要的桥接功能，降低复杂性和潜在安全风险。</w:t>
      </w:r>
    </w:p>
    <w:p>
      <w:pPr>
        <w:spacing w:before="0" w:after="0" w:line="240" w:lineRule="auto"/>
        <w:ind w:left="0" w:right="0" w:firstLine="0"/>
        <w:jc w:val="both"/>
      </w:pPr>
      <w:r>
        <w:rPr>
          <w:rFonts w:ascii="Times New Roman" w:hAnsi="Times New Roman" w:cs="Times New Roman" w:eastAsia="仿宋"/>
          <w:b w:val="0"/>
          <w:sz w:val="28"/>
        </w:rPr>
        <w:t>· 部署前需做好充分准备，包括开发工具、测试网访问和安全密钥管理。</w:t>
      </w:r>
    </w:p>
    <w:p>
      <w:pPr>
        <w:pStyle w:val="正文内容"/>
        <w:spacing w:before="0" w:after="0" w:line="240" w:lineRule="auto"/>
        <w:ind w:left="0" w:right="0" w:firstLine="560"/>
        <w:jc w:val="both"/>
      </w:pPr>
      <w:r>
        <w:rPr>
          <w:rFonts w:ascii="Times New Roman" w:hAnsi="Times New Roman" w:cs="Times New Roman" w:eastAsia="仿宋"/>
          <w:b w:val="0"/>
          <w:sz w:val="28"/>
        </w:rPr>
        <w:t>比特币是最安全且采用最广泛的区块链网络，但其脚本能力有意受限，以维护去中心化和安全性。然而，这一设计也使得构建高级应用（如信任桥）变得困难。传统上，比特币桥依赖多签名设置或托管人，要求用户信任一组操作者来正确管理资金。最小化BitVM2合约引入了一种新方法，无需修改比特币协议即可利用现有基础设施执行复杂的验证和计算过程。</w:t>
      </w:r>
    </w:p>
    <w:p>
      <w:pPr>
        <w:pStyle w:val="正文内容"/>
        <w:spacing w:before="0" w:after="0" w:line="240" w:lineRule="auto"/>
        <w:ind w:left="0" w:right="0" w:firstLine="560"/>
        <w:jc w:val="both"/>
      </w:pPr>
      <w:r>
        <w:rPr>
          <w:rFonts w:ascii="Times New Roman" w:hAnsi="Times New Roman" w:cs="Times New Roman" w:eastAsia="仿宋"/>
          <w:b w:val="0"/>
          <w:sz w:val="28"/>
        </w:rPr>
        <w:t>BitVM2扩展了最初的BitVM概念，允许在比特币上进行复杂计算的验证而不改变协议。它不直接在链上执行智能合约，而是依赖链下计算和链上争议解决（当问题发生时）。最小化BitVM2合约仅包含桥接功能所需的组件，如交易验证和欺诈证明机制。通过避免不必要的复杂性，这些合约更易于审计、不易出错且管理更高效。对于去信任比特币桥，最小化BitVM2合约提供了一种实用方式，用于验证提款、存款和争议，同时保持对安全和去中心化的高度关注。</w:t>
      </w:r>
    </w:p>
    <w:p>
      <w:pPr>
        <w:pStyle w:val="正文内容"/>
        <w:spacing w:before="0" w:after="0" w:line="240" w:lineRule="auto"/>
        <w:ind w:left="0" w:right="0" w:firstLine="560"/>
        <w:jc w:val="both"/>
      </w:pPr>
      <w:r>
        <w:rPr>
          <w:rFonts w:ascii="Times New Roman" w:hAnsi="Times New Roman" w:cs="Times New Roman" w:eastAsia="仿宋"/>
          <w:b w:val="0"/>
          <w:sz w:val="28"/>
        </w:rPr>
        <w:t>部署的第一步是定义桥架构。开发人员需确定将穿越桥的资产、负责监控交易的各方以及指导系统的安全假设。清晰的架构有助于确保所有参与者理解其角色，且合约结构符合桥的目标。</w:t>
      </w:r>
    </w:p>
    <w:p>
      <w:pPr>
        <w:pStyle w:val="正文内容"/>
        <w:spacing w:before="0" w:after="0" w:line="240" w:lineRule="auto"/>
        <w:ind w:left="0" w:right="0" w:firstLine="560"/>
        <w:jc w:val="both"/>
      </w:pPr>
      <w:r>
        <w:rPr>
          <w:rFonts w:ascii="Times New Roman" w:hAnsi="Times New Roman" w:cs="Times New Roman" w:eastAsia="仿宋"/>
          <w:b w:val="0"/>
          <w:sz w:val="28"/>
        </w:rPr>
        <w:t>架构确定后，需准备开发环境。这主要涉及安装比特币开发工具、配置比特币测试网访问，并确保所有必需的BitVM2库和依赖项正常运行。使用测试环境使开发人员能够安全地进行实验，而不会面临真实资金风险。</w:t>
      </w:r>
    </w:p>
    <w:p>
      <w:pPr>
        <w:pStyle w:val="正文内容"/>
        <w:spacing w:before="0" w:after="0" w:line="240" w:lineRule="auto"/>
        <w:ind w:left="0" w:right="0" w:firstLine="560"/>
        <w:jc w:val="both"/>
      </w:pPr>
      <w:r>
        <w:rPr>
          <w:rFonts w:ascii="Times New Roman" w:hAnsi="Times New Roman" w:cs="Times New Roman" w:eastAsia="仿宋"/>
          <w:b w:val="0"/>
          <w:sz w:val="28"/>
        </w:rPr>
        <w:t>环境搭建完成后，开发人员可开始构建合约逻辑。目标仅包含桥接操作所需的功能，主要包括确认存款、处理提款和处理争议的规则。保持合约最小化可提高效率、降低复杂性并简化安全审查。</w:t>
      </w:r>
    </w:p>
    <w:p>
      <w:pPr>
        <w:pStyle w:val="正文内容"/>
        <w:spacing w:before="0" w:after="0" w:line="240" w:lineRule="auto"/>
        <w:ind w:left="0" w:right="0" w:firstLine="560"/>
        <w:jc w:val="both"/>
      </w:pPr>
      <w:r>
        <w:rPr>
          <w:rFonts w:ascii="Times New Roman" w:hAnsi="Times New Roman" w:cs="Times New Roman" w:eastAsia="仿宋"/>
          <w:b w:val="0"/>
          <w:sz w:val="28"/>
        </w:rPr>
        <w:t>BitVM2合约高度依赖基于Taproot的脚本来定义支出条件和验证流程。在此阶段，开发人员需创建用于管理桥交易和挑战机制的脚本，并仔细测试以确保其在各种条件下按预期运行。此外，需配置挑战参数，包括参与者质疑可疑行动的时间、争议中必须提供的证据以及阻止恶意行为的抵押要求。</w:t>
      </w:r>
    </w:p>
    <w:p>
      <w:pPr>
        <w:pStyle w:val="正文内容"/>
        <w:spacing w:before="0" w:after="0" w:line="240" w:lineRule="auto"/>
        <w:ind w:left="0" w:right="0" w:firstLine="560"/>
        <w:jc w:val="both"/>
      </w:pPr>
      <w:r>
        <w:rPr>
          <w:rFonts w:ascii="Times New Roman" w:hAnsi="Times New Roman" w:cs="Times New Roman" w:eastAsia="仿宋"/>
          <w:b w:val="0"/>
          <w:sz w:val="28"/>
        </w:rPr>
        <w:t>正式部署前，合约应在比特币测试网上部署。这使开发人员能够验证部署交易是否成功，以及所有合约组件是否正确交互。部署后，应模拟存款交易以确保桥识别并验证入金；随后测试提款流程，确认用户可通过桥无延迟或错误地提取资产。</w:t>
      </w:r>
    </w:p>
    <w:p>
      <w:pPr>
        <w:pStyle w:val="正文内容"/>
        <w:spacing w:before="0" w:after="0" w:line="240" w:lineRule="auto"/>
        <w:ind w:left="0" w:right="0" w:firstLine="560"/>
        <w:jc w:val="both"/>
      </w:pPr>
      <w:r>
        <w:rPr>
          <w:rFonts w:ascii="Times New Roman" w:hAnsi="Times New Roman" w:cs="Times New Roman" w:eastAsia="仿宋"/>
          <w:b w:val="0"/>
          <w:sz w:val="28"/>
        </w:rPr>
        <w:t>最关键的一步是测试欺诈证明机制。开发人员应有意识地设计争议场景，验证挑战能否被提交并妥善解决。这有助于确认桥能够发现无效行为并在发生分歧时强制执行正确结果。最后的阶段是审查所有测试结果并找出改进之处，在进入生产前解决所有问题，并评估性能、加强安全控制、准备独立审计。</w:t>
      </w:r>
    </w:p>
    <w:p>
      <w:pPr>
        <w:pStyle w:val="正文内容"/>
        <w:spacing w:before="0" w:after="0" w:line="240" w:lineRule="auto"/>
        <w:ind w:left="0" w:right="0" w:firstLine="560"/>
        <w:jc w:val="both"/>
      </w:pPr>
      <w:r>
        <w:rPr>
          <w:rFonts w:ascii="Times New Roman" w:hAnsi="Times New Roman" w:cs="Times New Roman" w:eastAsia="仿宋"/>
          <w:b w:val="0"/>
          <w:sz w:val="28"/>
        </w:rPr>
        <w:t>部署前需具备一些先决条件：对比特币和Taproot的基本理解（包括交易、签名、钱包管理和交易验证）；配置良好的开发环境；比特币测试网访问权限；以及安全的钱包和密钥管理，包括保护私钥和建立备份流程。</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原文标题：Step-by-Step Guide： Deploying Minimal BitVM2 Contracts for Trustless Bitcoin Bridges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原文链接：https://financefeeds.com/step-by-step-guide-deploying-minimal-bitvm2-contracts-for-trustless-bitcoin-bridges/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加密ETF单日净流出2.527亿美元比特币与以太坊资金持续撤离</w:t>
      </w:r>
    </w:p>
    <w:p>
      <w:pPr>
        <w:spacing w:before="0" w:after="0" w:line="240" w:lineRule="auto"/>
        <w:ind w:left="0" w:right="0" w:firstLine="0"/>
        <w:jc w:val="both"/>
      </w:pPr>
      <w:r>
        <w:rPr>
          <w:rFonts w:ascii="Times New Roman" w:hAnsi="Times New Roman" w:cs="Times New Roman" w:eastAsia="仿宋"/>
          <w:b w:val="0"/>
          <w:sz w:val="28"/>
        </w:rPr>
        <w:t>· 6月30日美国现货加密交易所交易基金（ETF）合计净流出约2.527亿美元，延续月末赎回趋势。</w:t>
      </w:r>
    </w:p>
    <w:p>
      <w:pPr>
        <w:spacing w:before="0" w:after="0" w:line="240" w:lineRule="auto"/>
        <w:ind w:left="0" w:right="0" w:firstLine="0"/>
        <w:jc w:val="both"/>
      </w:pPr>
      <w:r>
        <w:rPr>
          <w:rFonts w:ascii="Times New Roman" w:hAnsi="Times New Roman" w:cs="Times New Roman" w:eastAsia="仿宋"/>
          <w:b w:val="0"/>
          <w:sz w:val="28"/>
        </w:rPr>
        <w:t>· 比特币ETF当日流出2.226亿美元，集中在贝莱德（BlackRock）旗下的IBIT（2.124亿美元）和富达（Fidelity）旗下的FBTC（1020万美元）。</w:t>
      </w:r>
    </w:p>
    <w:p>
      <w:pPr>
        <w:spacing w:before="0" w:after="0" w:line="240" w:lineRule="auto"/>
        <w:ind w:left="0" w:right="0" w:firstLine="0"/>
        <w:jc w:val="both"/>
      </w:pPr>
      <w:r>
        <w:rPr>
          <w:rFonts w:ascii="Times New Roman" w:hAnsi="Times New Roman" w:cs="Times New Roman" w:eastAsia="仿宋"/>
          <w:b w:val="0"/>
          <w:sz w:val="28"/>
        </w:rPr>
        <w:t>· 以太坊ETF流出2760万美元，全部来自贝莱德发行的ETHA；Solana ETF流出250万美元，全部来自Bitwise的BSOL。</w:t>
      </w:r>
    </w:p>
    <w:p>
      <w:pPr>
        <w:pStyle w:val="正文内容"/>
        <w:spacing w:before="0" w:after="0" w:line="240" w:lineRule="auto"/>
        <w:ind w:left="0" w:right="0" w:firstLine="560"/>
        <w:jc w:val="both"/>
      </w:pPr>
      <w:r>
        <w:rPr>
          <w:rFonts w:ascii="Times New Roman" w:hAnsi="Times New Roman" w:cs="Times New Roman" w:eastAsia="仿宋"/>
          <w:b w:val="0"/>
          <w:sz w:val="28"/>
        </w:rPr>
        <w:t>美国现货加密交易所交易基金（ETF）在6月30日（周二）录得约2.527亿美元的合计净流出，延续了月末的赎回趋势。这轮资金外流令机构对数字资产的情绪承压。</w:t>
      </w:r>
    </w:p>
    <w:p>
      <w:pPr>
        <w:pStyle w:val="正文内容"/>
        <w:spacing w:before="0" w:after="0" w:line="240" w:lineRule="auto"/>
        <w:ind w:left="0" w:right="0" w:firstLine="560"/>
        <w:jc w:val="both"/>
      </w:pPr>
      <w:r>
        <w:rPr>
          <w:rFonts w:ascii="Times New Roman" w:hAnsi="Times New Roman" w:cs="Times New Roman" w:eastAsia="仿宋"/>
          <w:b w:val="0"/>
          <w:sz w:val="28"/>
        </w:rPr>
        <w:t>比特币（Bitcoin，BTC）现货ETF当日净流出2.226亿美元，流出主要集中在该类别的两只最大基金上。贝莱德（BlackRock）旗下的iShares Bitcoin Trust（IBIT）遭遇2.124亿美元的赎回，富达（Fidelity）旗下的Wise Origin Bitcoin Fund（FBTC）损失1020万美元。其他比特币ETF——包括Bitwise比特币ETF（BITB）、ARK 21Shares比特币ETF（ARKB）、Invesco Galaxy比特币ETF（BTCO）、Franklin Templeton数字资产信托（EZBC）、Valkyrie比特币基金（BRRR）、VanEck比特币信托（HODL）、WisdomTree比特币基金（BTCW）、MSBT、Grayscale比特币信托（GBTC）以及Grayscale比特币迷你信托（BTC）——当日均为零净流量。</w:t>
      </w:r>
    </w:p>
    <w:p>
      <w:pPr>
        <w:pStyle w:val="正文内容"/>
        <w:spacing w:before="0" w:after="0" w:line="240" w:lineRule="auto"/>
        <w:ind w:left="0" w:right="0" w:firstLine="560"/>
        <w:jc w:val="both"/>
      </w:pPr>
      <w:r>
        <w:rPr>
          <w:rFonts w:ascii="Times New Roman" w:hAnsi="Times New Roman" w:cs="Times New Roman" w:eastAsia="仿宋"/>
          <w:b w:val="0"/>
          <w:sz w:val="28"/>
        </w:rPr>
        <w:t>以太坊（Ethereum，ETH）现货ETF同样延续负值，当日净流出2760万美元。全部流出来自贝莱德发行的iShares Ethereum Trust（ETHA）。其他以太坊ETF——包括ETHB、富达以太坊基金（FETH）、Bitwise以太坊ETF（ETHW）、TETH、ETHV、QETH、EZET、Grayscale以太坊信托（ETHE）以及Grayscale以太坊迷你信托（ETH）——当日均未录得净流量。Solana（SOL）现货ETF也加入了疲弱行列，净流出250万美元，全部来自Bitwise Solana ETF（BSOL）。VSOL、FSOL、TSOL、SOEZ和GSOL均无变动。</w:t>
      </w:r>
    </w:p>
    <w:p>
      <w:pPr>
        <w:pStyle w:val="正文内容"/>
        <w:spacing w:before="0" w:after="0" w:line="240" w:lineRule="auto"/>
        <w:ind w:left="0" w:right="0" w:firstLine="560"/>
        <w:jc w:val="both"/>
      </w:pPr>
      <w:r>
        <w:rPr>
          <w:rFonts w:ascii="Times New Roman" w:hAnsi="Times New Roman" w:cs="Times New Roman" w:eastAsia="仿宋"/>
          <w:b w:val="0"/>
          <w:sz w:val="28"/>
        </w:rPr>
        <w:t>6月30日的数据紧随上一个负值交易日（6月29日）而来。当日比特币ETF净流出2.31亿美元，以太坊ETF净流出2990万美元，而Solana ETF则净流入550万美元。在6月最后两个交易日，现货加密ETF合计净流出约5.081亿美元。</w:t>
      </w:r>
    </w:p>
    <w:p>
      <w:pPr>
        <w:pStyle w:val="正文内容"/>
        <w:spacing w:before="0" w:after="0" w:line="240" w:lineRule="auto"/>
        <w:ind w:left="0" w:right="0" w:firstLine="560"/>
        <w:jc w:val="both"/>
      </w:pPr>
      <w:r>
        <w:rPr>
          <w:rFonts w:ascii="Times New Roman" w:hAnsi="Times New Roman" w:cs="Times New Roman" w:eastAsia="仿宋"/>
          <w:b w:val="0"/>
          <w:sz w:val="28"/>
        </w:rPr>
        <w:t>比特币ETF仍然是资金流出的主要压力来源。自6月23日以来，美国现货比特币ETF已连续六个交易日净流出，期间累计流出约21.7亿美元。具体而言：6月23日流出1.138亿美元；6月24日流出4.69亿美元；6月25日流出6.917亿美元；6月26日流出4.445亿美元；6月29日流出2.31亿美元；6月30日流出2.226亿美元。</w:t>
      </w:r>
    </w:p>
    <w:p>
      <w:pPr>
        <w:pStyle w:val="正文内容"/>
        <w:spacing w:before="0" w:after="0" w:line="240" w:lineRule="auto"/>
        <w:ind w:left="0" w:right="0" w:firstLine="560"/>
        <w:jc w:val="both"/>
      </w:pPr>
      <w:r>
        <w:rPr>
          <w:rFonts w:ascii="Times New Roman" w:hAnsi="Times New Roman" w:cs="Times New Roman" w:eastAsia="仿宋"/>
          <w:b w:val="0"/>
          <w:sz w:val="28"/>
        </w:rPr>
        <w:t>6月30日赎回集中在IBIT和FBTC这两只基金，这一点值得关注，因为它们一直是机构对比特币需求的最强标志。历史上，贝莱德和富达的产品吸引了很大一部分净流入，从而对市场解读产生巨大影响。当赎回来自这些基金时，投资者倾向于将这一举动视为机构风险偏好更广泛的降低，而非孤立的产品轮换。</w:t>
      </w:r>
    </w:p>
    <w:p>
      <w:pPr>
        <w:pStyle w:val="正文内容"/>
        <w:spacing w:before="0" w:after="0" w:line="240" w:lineRule="auto"/>
        <w:ind w:left="0" w:right="0" w:firstLine="560"/>
        <w:jc w:val="both"/>
      </w:pPr>
      <w:r>
        <w:rPr>
          <w:rFonts w:ascii="Times New Roman" w:hAnsi="Times New Roman" w:cs="Times New Roman" w:eastAsia="仿宋"/>
          <w:b w:val="0"/>
          <w:sz w:val="28"/>
        </w:rPr>
        <w:t>资金流出之际，比特币在跌破6万美元关口后正挣扎于关键心理位附近。ETF的卖出行为可能加剧现货市场疲软，因为授权参与者和做市商必须围绕创建和赎回管理敞口。Solana的250万美元流出与比特币的赎回总额相比规模较小，但这标志着此前一周温和的正向需求出现逆转。截至6月29日，BSOL曾净流入460万美元，FSOL净流入90万美元；6月30日的流出显示，即使是高贝塔值的加密ETF敞口也未能完全摆脱整体的避险基调。</w:t>
      </w:r>
    </w:p>
    <w:p>
      <w:pPr>
        <w:pStyle w:val="正文内容"/>
        <w:spacing w:before="0" w:after="0" w:line="240" w:lineRule="auto"/>
        <w:ind w:left="0" w:right="0" w:firstLine="560"/>
        <w:jc w:val="both"/>
      </w:pPr>
      <w:r>
        <w:rPr>
          <w:rFonts w:ascii="Times New Roman" w:hAnsi="Times New Roman" w:cs="Times New Roman" w:eastAsia="仿宋"/>
          <w:b w:val="0"/>
          <w:sz w:val="28"/>
        </w:rPr>
        <w:t>以太坊的疲弱同样令人忧虑。尽管以太坊在稳定币、代币化和去中心化金融（DeFi）领域扮演核心角色，但其ETF在6月下旬持续录得净流出。大多数发行商产品均无流入，表明投资者尚未大规模重新回到以太坊敞口。监管加密产品不再提供此前有助于定义ETF叙事的稳定机构支持；相反，6月末的资金流显示投资者正利用ETF减少对比特币、以太坊以及（程度较轻的）Solana的敞口。</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ETFs Lose $253 Million as Bitcoin and Ether Outflows Continue on June 30</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原文链接：https://financefeeds.com/crypto-etfs-lose-253-million-as-bitcoin-and-ether-outflows-continue-on-june-30/</w:t>
      </w:r>
    </w:p>
    <w:p/>
    <w:p>
      <w:pPr>
        <w:pStyle w:val="文章一级标题"/>
        <w:spacing w:before="0" w:after="0" w:line="240" w:lineRule="auto"/>
        <w:ind w:left="0" w:right="0" w:firstLine="0"/>
        <w:jc w:val="center"/>
      </w:pPr>
      <w:r>
        <w:rPr>
          <w:rFonts w:ascii="Times New Roman" w:hAnsi="Times New Roman" w:cs="Times New Roman" w:eastAsia="黑体"/>
          <w:b w:val="0"/>
          <w:sz w:val="30"/>
        </w:rPr>
        <w:t>Circle股价跳水因Coinbase、贝莱德、Visa等联合推出OpenUSD稳定币</w:t>
      </w:r>
    </w:p>
    <w:p>
      <w:pPr>
        <w:spacing w:before="0" w:after="0" w:line="240" w:lineRule="auto"/>
        <w:ind w:left="0" w:right="0" w:firstLine="0"/>
        <w:jc w:val="both"/>
      </w:pPr>
      <w:r>
        <w:rPr>
          <w:rFonts w:ascii="Times New Roman" w:hAnsi="Times New Roman" w:cs="Times New Roman" w:eastAsia="仿宋"/>
          <w:b w:val="0"/>
          <w:sz w:val="28"/>
        </w:rPr>
        <w:t>· 超过140家公司联合推出名为Open USD的新稳定币，由独立运营商Open Standard运营</w:t>
      </w:r>
    </w:p>
    <w:p>
      <w:pPr>
        <w:spacing w:before="0" w:after="0" w:line="240" w:lineRule="auto"/>
        <w:ind w:left="0" w:right="0" w:firstLine="0"/>
        <w:jc w:val="both"/>
      </w:pPr>
      <w:r>
        <w:rPr>
          <w:rFonts w:ascii="Times New Roman" w:hAnsi="Times New Roman" w:cs="Times New Roman" w:eastAsia="仿宋"/>
          <w:b w:val="0"/>
          <w:sz w:val="28"/>
        </w:rPr>
        <w:t>· Open USD承诺免费、无上限的铸造与赎回，储备收益由合作伙伴共享，治理由合作公司董事会负责</w:t>
      </w:r>
    </w:p>
    <w:p>
      <w:pPr>
        <w:spacing w:before="0" w:after="0" w:line="240" w:lineRule="auto"/>
        <w:ind w:left="0" w:right="0" w:firstLine="0"/>
        <w:jc w:val="both"/>
      </w:pPr>
      <w:r>
        <w:rPr>
          <w:rFonts w:ascii="Times New Roman" w:hAnsi="Times New Roman" w:cs="Times New Roman" w:eastAsia="仿宋"/>
          <w:b w:val="0"/>
          <w:sz w:val="28"/>
        </w:rPr>
        <w:t>· 受该消息影响，USDC发行商Circle（CRCL）股价当日下跌近16%，至63.99美元，过去一个月累计跌幅达39%</w:t>
      </w:r>
    </w:p>
    <w:p>
      <w:pPr>
        <w:pStyle w:val="正文内容"/>
        <w:spacing w:before="0" w:after="0" w:line="240" w:lineRule="auto"/>
        <w:ind w:left="0" w:right="0" w:firstLine="560"/>
        <w:jc w:val="both"/>
      </w:pPr>
      <w:r>
        <w:rPr>
          <w:rFonts w:ascii="Times New Roman" w:hAnsi="Times New Roman" w:cs="Times New Roman" w:eastAsia="仿宋"/>
          <w:b w:val="0"/>
          <w:sz w:val="28"/>
        </w:rPr>
        <w:t>据Decrypt报道，超过140家公司联合推出了一种名为Open USD的新稳定币，旨在创建不受任何单一企业控制的共享数字支付基础设施。该消息公布后，USDC稳定币发行商Circle（CRCL）的股价当日大幅下跌近16%，至63.99美元，过去一个月累计跌幅达39%。</w:t>
      </w:r>
    </w:p>
    <w:p>
      <w:pPr>
        <w:pStyle w:val="正文内容"/>
        <w:spacing w:before="0" w:after="0" w:line="240" w:lineRule="auto"/>
        <w:ind w:left="0" w:right="0" w:firstLine="560"/>
        <w:jc w:val="both"/>
      </w:pPr>
      <w:r>
        <w:rPr>
          <w:rFonts w:ascii="Times New Roman" w:hAnsi="Times New Roman" w:cs="Times New Roman" w:eastAsia="仿宋"/>
          <w:b w:val="0"/>
          <w:sz w:val="28"/>
        </w:rPr>
        <w:t>Open USD由新成立的独立运营商Open Standard推出，其创始CEO Zach Abrams此前曾创立被Stripe收购的稳定币公司Bridge。该稳定币的设计旨在解决行业发展中面临的诸多问题：大规模铸造和赎回的高昂费用、发行人独占储备利息、以及实际使用代币的企业缺乏话语权。</w:t>
      </w:r>
    </w:p>
    <w:p>
      <w:pPr>
        <w:pStyle w:val="正文内容"/>
        <w:spacing w:before="0" w:after="0" w:line="240" w:lineRule="auto"/>
        <w:ind w:left="0" w:right="0" w:firstLine="560"/>
        <w:jc w:val="both"/>
      </w:pPr>
      <w:r>
        <w:rPr>
          <w:rFonts w:ascii="Times New Roman" w:hAnsi="Times New Roman" w:cs="Times New Roman" w:eastAsia="仿宋"/>
          <w:b w:val="0"/>
          <w:sz w:val="28"/>
        </w:rPr>
        <w:t>Open Standard表示，企业将能够免费且无数量上限地铸造和赎回Open USD。储备收益将由合作伙伴共同获取，而非发行人独享，仅扣除少量管理费。治理权将归属于由Open USD合作公司组成的董事会，而非单一企业母公司，组织者认为这种安排对赢得广泛采用至关重要。</w:t>
      </w:r>
    </w:p>
    <w:p>
      <w:pPr>
        <w:pStyle w:val="正文内容"/>
        <w:spacing w:before="0" w:after="0" w:line="240" w:lineRule="auto"/>
        <w:ind w:left="0" w:right="0" w:firstLine="560"/>
        <w:jc w:val="both"/>
      </w:pPr>
      <w:r>
        <w:rPr>
          <w:rFonts w:ascii="Times New Roman" w:hAnsi="Times New Roman" w:cs="Times New Roman" w:eastAsia="仿宋"/>
          <w:b w:val="0"/>
          <w:sz w:val="28"/>
        </w:rPr>
        <w:t>Abrams在声明中表示：“现有稳定币有其优势，但若大规模使用，企业需要一种开放、低成本、高吞吐量、广泛可及且符合其利益的方案。”Open USD的支持者名单涵盖支付巨头Visa、Mastercard、American Express，银行包括贝莱德（BlackRock）、纽约梅隆银行（BNY）和渣打银行，科技公司如Google和Shopify，以及加密领域参与者Coinbase和Ripple。</w:t>
      </w:r>
    </w:p>
    <w:p>
      <w:pPr>
        <w:pStyle w:val="正文内容"/>
        <w:spacing w:before="0" w:after="0" w:line="240" w:lineRule="auto"/>
        <w:ind w:left="0" w:right="0" w:firstLine="560"/>
        <w:jc w:val="both"/>
      </w:pPr>
      <w:r>
        <w:rPr>
          <w:rFonts w:ascii="Times New Roman" w:hAnsi="Times New Roman" w:cs="Times New Roman" w:eastAsia="仿宋"/>
          <w:b w:val="0"/>
          <w:sz w:val="28"/>
        </w:rPr>
        <w:t>高管们将此次合作比作早期互联网时代的“中立基础设施”建设。贝莱德的Samara Cohen称其为“为企业提供更多选择权的建设性一步”，而纽约梅隆银行预测，到2030年，整个稳定币市场规模可能膨胀至1.5万亿美元。Open USD预计将于今年晚些时候上线。</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原文标题：Circle Stock Dives as Coinbase， BlackRock and Visa Back Open USD Stablecoin</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原文链接：https://decrypt.co/372429/circle-stock-dives-coinbase-blackrock-visa-open-usd-stablecoin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Strategy资本重组能否终结“死亡螺旋”担忧</w:t>
      </w:r>
    </w:p>
    <w:p>
      <w:pPr>
        <w:spacing w:before="0" w:after="0" w:line="240" w:lineRule="auto"/>
        <w:ind w:left="0" w:right="0" w:firstLine="0"/>
        <w:jc w:val="both"/>
      </w:pPr>
      <w:r>
        <w:rPr>
          <w:rFonts w:ascii="Times New Roman" w:hAnsi="Times New Roman" w:cs="Times New Roman" w:eastAsia="仿宋"/>
          <w:b w:val="0"/>
          <w:sz w:val="28"/>
        </w:rPr>
        <w:t>· Strategy发布新资本框架，包括最高10亿美元MSTR和STRC回购、STRC股息升至约12%、现金缓冲扩大至25.5亿美元，并可能出售最多12.5亿美元比特币以满足义务。</w:t>
      </w:r>
    </w:p>
    <w:p>
      <w:pPr>
        <w:spacing w:before="0" w:after="0" w:line="240" w:lineRule="auto"/>
        <w:ind w:left="0" w:right="0" w:firstLine="0"/>
        <w:jc w:val="both"/>
      </w:pPr>
      <w:r>
        <w:rPr>
          <w:rFonts w:ascii="Times New Roman" w:hAnsi="Times New Roman" w:cs="Times New Roman" w:eastAsia="仿宋"/>
          <w:b w:val="0"/>
          <w:sz w:val="28"/>
        </w:rPr>
        <w:t>· 市场反应积极，STRC和MSTR盘后上涨超12%；但分析人士对框架能否消除结构性的“死亡螺旋”风险存在分歧。</w:t>
      </w:r>
    </w:p>
    <w:p>
      <w:pPr>
        <w:spacing w:before="0" w:after="0" w:line="240" w:lineRule="auto"/>
        <w:ind w:left="0" w:right="0" w:firstLine="0"/>
        <w:jc w:val="both"/>
      </w:pPr>
      <w:r>
        <w:rPr>
          <w:rFonts w:ascii="Times New Roman" w:hAnsi="Times New Roman" w:cs="Times New Roman" w:eastAsia="仿宋"/>
          <w:b w:val="0"/>
          <w:sz w:val="28"/>
        </w:rPr>
        <w:t>· 新框架增强了短期流动性管理，但未消除Strategy对资本市场的依赖；批评者认为其结构仍暴露于反馈循环风险中。</w:t>
      </w:r>
    </w:p>
    <w:p>
      <w:pPr>
        <w:pStyle w:val="正文内容"/>
        <w:spacing w:before="0" w:after="0" w:line="240" w:lineRule="auto"/>
        <w:ind w:left="0" w:right="0" w:firstLine="560"/>
        <w:jc w:val="both"/>
      </w:pPr>
      <w:r>
        <w:rPr>
          <w:rFonts w:ascii="Times New Roman" w:hAnsi="Times New Roman" w:cs="Times New Roman" w:eastAsia="仿宋"/>
          <w:b w:val="0"/>
          <w:sz w:val="28"/>
        </w:rPr>
        <w:t>随着比特币跌至60，000美元以下，Strategy股价较历史高点下跌逾70%，部分加密货币投资者质疑这家公司是否会成为本轮周期的Terra/LUNA——一个在压力下爆裂的高杠杆加密市场结构押注。Strategy的新资本框架于周一发布，旨在回应投资者担忧。</w:t>
      </w:r>
    </w:p>
    <w:p>
      <w:pPr>
        <w:pStyle w:val="正文内容"/>
        <w:spacing w:before="0" w:after="0" w:line="240" w:lineRule="auto"/>
        <w:ind w:left="0" w:right="0" w:firstLine="560"/>
        <w:jc w:val="both"/>
      </w:pPr>
      <w:r>
        <w:rPr>
          <w:rFonts w:ascii="Times New Roman" w:hAnsi="Times New Roman" w:cs="Times New Roman" w:eastAsia="仿宋"/>
          <w:b w:val="0"/>
          <w:sz w:val="28"/>
        </w:rPr>
        <w:t>该框架包括最高10亿美元的MSTR回购、最高10亿美元的STRC及相关证券回购、将STRC股息提高至约12%，以及将现金缓冲扩大至25.5亿美元。对于一家以最大主义方式持有比特币而闻名的公司，Strategy还表示，若为满足股息或债务义务，可能出售最多12.5亿美元的比特币持仓。</w:t>
      </w:r>
    </w:p>
    <w:p>
      <w:pPr>
        <w:pStyle w:val="正文内容"/>
        <w:spacing w:before="0" w:after="0" w:line="240" w:lineRule="auto"/>
        <w:ind w:left="0" w:right="0" w:firstLine="560"/>
        <w:jc w:val="both"/>
      </w:pPr>
      <w:r>
        <w:rPr>
          <w:rFonts w:ascii="Times New Roman" w:hAnsi="Times New Roman" w:cs="Times New Roman" w:eastAsia="仿宋"/>
          <w:b w:val="0"/>
          <w:sz w:val="28"/>
        </w:rPr>
        <w:t>消息公布后，STRC和MSTR股价盘后均上涨超12%。STRC当前交易价为84.86美元，较6月26日的72.06美元显著上涨。STRC是Strategy资本结构中的一部分，介于传统股权和债务工具之间，使投资者在保持对比特币持仓敞口的同时获得收益。</w:t>
      </w:r>
    </w:p>
    <w:p>
      <w:pPr>
        <w:pStyle w:val="正文内容"/>
        <w:spacing w:before="0" w:after="0" w:line="240" w:lineRule="auto"/>
        <w:ind w:left="0" w:right="0" w:firstLine="560"/>
        <w:jc w:val="both"/>
      </w:pPr>
      <w:r>
        <w:rPr>
          <w:rFonts w:ascii="Times New Roman" w:hAnsi="Times New Roman" w:cs="Times New Roman" w:eastAsia="仿宋"/>
          <w:b w:val="0"/>
          <w:sz w:val="28"/>
        </w:rPr>
        <w:t>然而，看空者认为Strategy的整个筹资和股权模型具有内在反身性，会放大牛熊周期。Ripple首席执行官Brad Garlinghouse本周在CNBC上表示：“金融工程不会驱动长期价值。”Capital.com高级分析师Kyle Rodda告诉Cointelegraph，Strategy的业务“在方向上确实复合动量”，在弱势条件下，融资成本上升和投资者兴趣下降会加剧下行压力。</w:t>
      </w:r>
    </w:p>
    <w:p>
      <w:pPr>
        <w:pStyle w:val="正文内容"/>
        <w:spacing w:before="0" w:after="0" w:line="240" w:lineRule="auto"/>
        <w:ind w:left="0" w:right="0" w:firstLine="560"/>
        <w:jc w:val="both"/>
      </w:pPr>
      <w:r>
        <w:rPr>
          <w:rFonts w:ascii="Times New Roman" w:hAnsi="Times New Roman" w:cs="Times New Roman" w:eastAsia="仿宋"/>
          <w:b w:val="0"/>
          <w:sz w:val="28"/>
        </w:rPr>
        <w:t>Kula数字资产主管Taran Dhillon则认为压力会首先出现在融资条件上，比如折价扩大、收益率上升和发行能力下降。他指出，Strategy的比特币持仓本身关系不大，关键是在市场压力期间能否继续有效再融资或滚动资本。Bitfire Research的一份报告指出，STRC近期的价格脱钩不应被解读为结构性失败，脱钩事件主要由情绪和流动性条件驱动，而非基本面变化。</w:t>
      </w:r>
    </w:p>
    <w:p>
      <w:pPr>
        <w:pStyle w:val="正文内容"/>
        <w:spacing w:before="0" w:after="0" w:line="240" w:lineRule="auto"/>
        <w:ind w:left="0" w:right="0" w:firstLine="560"/>
        <w:jc w:val="both"/>
      </w:pPr>
      <w:r>
        <w:rPr>
          <w:rFonts w:ascii="Times New Roman" w:hAnsi="Times New Roman" w:cs="Times New Roman" w:eastAsia="仿宋"/>
          <w:b w:val="0"/>
          <w:sz w:val="28"/>
        </w:rPr>
        <w:t>Strategy支持者Adam Livingston运行了一个“三年MSTR压力测试”，假设比特币回撤55%、资本市场关闭。其模型显示，尽管极端情况下Strategy的普通股比特币敞口（CEBE）从每股138，161聪压缩至7，884聪，但公司最终存活下来，资产负债表上仍保留超过70万枚比特币。Livingston得出结论：“死亡螺旋？这个模型说不。”</w:t>
      </w:r>
    </w:p>
    <w:p>
      <w:pPr>
        <w:pStyle w:val="正文内容"/>
        <w:spacing w:before="0" w:after="0" w:line="240" w:lineRule="auto"/>
        <w:ind w:left="0" w:right="0" w:firstLine="560"/>
        <w:jc w:val="both"/>
      </w:pPr>
      <w:r>
        <w:rPr>
          <w:rFonts w:ascii="Times New Roman" w:hAnsi="Times New Roman" w:cs="Times New Roman" w:eastAsia="仿宋"/>
          <w:b w:val="0"/>
          <w:sz w:val="28"/>
        </w:rPr>
        <w:t>新框架中最引人注目的要素是可能出售比特币，这被视为Michael Saylor在被迫情况下愿意变卖资产的信号。Dhillon表示，该框架“有意义地提高了”Strategy在压力下如何回应的透明度，25.5亿美元的储备和更清晰的比特币变现计划有助于增强投资者信心。但Peter Schiff指出，MSTR市值300亿美元，其比特币价值500亿美元，“只要MSTR市值低于比特币价值，通过发行MSTR股票购买比特币会产生负的比特币收益率。”</w:t>
      </w:r>
    </w:p>
    <w:p>
      <w:pPr>
        <w:pStyle w:val="正文内容"/>
        <w:spacing w:before="0" w:after="0" w:line="240" w:lineRule="auto"/>
        <w:ind w:left="0" w:right="0" w:firstLine="560"/>
        <w:jc w:val="both"/>
      </w:pPr>
      <w:r>
        <w:rPr>
          <w:rFonts w:ascii="Times New Roman" w:hAnsi="Times New Roman" w:cs="Times New Roman" w:eastAsia="仿宋"/>
          <w:b w:val="0"/>
          <w:sz w:val="28"/>
        </w:rPr>
        <w:t>尽管新框架增强了Strategy管理短期压力的能力，但它并未消除公司依赖资本市场维持比特币积累战略的根本问题。Dhillon表示，关键考验在于市场压力期间融资条件是否仍可获取，而非仅比特币价格走势。Rodda认为，如果股权和信贷市场同时收紧流动性，Strategy的结构仍暴露在反馈循环中。关于结构性反身性的争论尚未完全解决。</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原文标题：Has Strategy’s capital overhaul put an end to ‘death spiral’ fears？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原文链接：https://cointelegraph.com/features/does-strategys-new-capital-plan-put-an-end-to-death-spiral-fears</w:t>
      </w:r>
    </w:p>
    <w:p/>
    <w:p>
      <w:pPr>
        <w:pStyle w:val="文章一级标题"/>
        <w:spacing w:before="0" w:after="0" w:line="240" w:lineRule="auto"/>
        <w:ind w:left="0" w:right="0" w:firstLine="0"/>
        <w:jc w:val="center"/>
      </w:pPr>
      <w:r>
        <w:rPr>
          <w:rFonts w:ascii="Times New Roman" w:hAnsi="Times New Roman" w:cs="Times New Roman" w:eastAsia="黑体"/>
          <w:b w:val="0"/>
          <w:sz w:val="30"/>
        </w:rPr>
        <w:t>Jefferies警告ClarityAct面临参议院考验加密市场波动或将加剧</w:t>
      </w:r>
    </w:p>
    <w:p>
      <w:pPr>
        <w:spacing w:before="0" w:after="0" w:line="240" w:lineRule="auto"/>
        <w:ind w:left="0" w:right="0" w:firstLine="0"/>
        <w:jc w:val="both"/>
      </w:pPr>
      <w:r>
        <w:rPr>
          <w:rFonts w:ascii="Times New Roman" w:hAnsi="Times New Roman" w:cs="Times New Roman" w:eastAsia="仿宋"/>
          <w:b w:val="0"/>
          <w:sz w:val="28"/>
        </w:rPr>
        <w:t>· Jefferies表示，Clarity Act在参议院面临艰难路径，立法时间缩减及未解决的政治担忧构成障碍。</w:t>
      </w:r>
    </w:p>
    <w:p>
      <w:pPr>
        <w:spacing w:before="0" w:after="0" w:line="240" w:lineRule="auto"/>
        <w:ind w:left="0" w:right="0" w:firstLine="0"/>
        <w:jc w:val="both"/>
      </w:pPr>
      <w:r>
        <w:rPr>
          <w:rFonts w:ascii="Times New Roman" w:hAnsi="Times New Roman" w:cs="Times New Roman" w:eastAsia="仿宋"/>
          <w:b w:val="0"/>
          <w:sz w:val="28"/>
        </w:rPr>
        <w:t>· 法案通过将开启机构数字资产采纳的下一个阶段，而延迟将延长监管不确定性。</w:t>
      </w:r>
    </w:p>
    <w:p>
      <w:pPr>
        <w:spacing w:before="0" w:after="0" w:line="240" w:lineRule="auto"/>
        <w:ind w:left="0" w:right="0" w:firstLine="0"/>
        <w:jc w:val="both"/>
      </w:pPr>
      <w:r>
        <w:rPr>
          <w:rFonts w:ascii="Times New Roman" w:hAnsi="Times New Roman" w:cs="Times New Roman" w:eastAsia="仿宋"/>
          <w:b w:val="0"/>
          <w:sz w:val="28"/>
        </w:rPr>
        <w:t>· Jefferies预计，随着法案前景明朗，加密代币和区块链相关股票的波动性将升高。</w:t>
      </w:r>
    </w:p>
    <w:p>
      <w:pPr>
        <w:pStyle w:val="正文内容"/>
        <w:spacing w:before="0" w:after="0" w:line="240" w:lineRule="auto"/>
        <w:ind w:left="0" w:right="0" w:firstLine="560"/>
        <w:jc w:val="both"/>
      </w:pPr>
      <w:r>
        <w:rPr>
          <w:rFonts w:ascii="Times New Roman" w:hAnsi="Times New Roman" w:cs="Times New Roman" w:eastAsia="仿宋"/>
          <w:b w:val="0"/>
          <w:sz w:val="28"/>
        </w:rPr>
        <w:t>尽管《清晰法案》（Clarity Act）已通过参议院银行委员会，但投资银行杰富瑞（Jefferies）警告称，政治不确定性可能在未来几周加剧加密市场的波动。该法案今年早些时候以两党15比9的投票结果通过委员会，但Jefferies指出，更严峻的挑战还在后面。Polymarket预测该法案在2026年底前通过的概率已从5月中旬的70%降至48%，原因是对伦理条款、非法融资以及有限的参议院议事时间的担忧。</w:t>
      </w:r>
    </w:p>
    <w:p>
      <w:pPr>
        <w:pStyle w:val="正文内容"/>
        <w:spacing w:before="0" w:after="0" w:line="240" w:lineRule="auto"/>
        <w:ind w:left="0" w:right="0" w:firstLine="560"/>
        <w:jc w:val="both"/>
      </w:pPr>
      <w:r>
        <w:rPr>
          <w:rFonts w:ascii="Times New Roman" w:hAnsi="Times New Roman" w:cs="Times New Roman" w:eastAsia="仿宋"/>
          <w:b w:val="0"/>
          <w:sz w:val="28"/>
        </w:rPr>
        <w:t>立法者需要在8月休会前大约20个立法日内，完成合并参议院不同版本、通过程序性投票、与众议院法案协调并提交总统唐纳德·特朗普（Donald Trump）签署。“如果在8月休会前未能通过Clarity Act，该法案可能推迟到明年甚至更晚，如果民主党在11月翻转参议院的话。”分析师安德鲁·莫斯（Andrew Moss）在周二的报告中表示。</w:t>
      </w:r>
    </w:p>
    <w:p>
      <w:pPr>
        <w:pStyle w:val="正文内容"/>
        <w:spacing w:before="0" w:after="0" w:line="240" w:lineRule="auto"/>
        <w:ind w:left="0" w:right="0" w:firstLine="560"/>
        <w:jc w:val="both"/>
      </w:pPr>
      <w:r>
        <w:rPr>
          <w:rFonts w:ascii="Times New Roman" w:hAnsi="Times New Roman" w:cs="Times New Roman" w:eastAsia="仿宋"/>
          <w:b w:val="0"/>
          <w:sz w:val="28"/>
        </w:rPr>
        <w:t>Clarity Act被视为加密货币行业最重要的市场结构法案，因为它将确立数字资产何时由证券交易委员会（SEC）作为证券监管、何时由商品期货交易委员会（CFTC）作为商品监管的明确规则，从而取代多年的监管不确定性。支持者表示，法律明确性将使银行、资产管理公司和其他机构更容易推出代币化产品、托管服务和基于区块链的金融产品，可能开启更广泛的机构采纳和投资。</w:t>
      </w:r>
    </w:p>
    <w:p>
      <w:pPr>
        <w:pStyle w:val="正文内容"/>
        <w:spacing w:before="0" w:after="0" w:line="240" w:lineRule="auto"/>
        <w:ind w:left="0" w:right="0" w:firstLine="560"/>
        <w:jc w:val="both"/>
      </w:pPr>
      <w:r>
        <w:rPr>
          <w:rFonts w:ascii="Times New Roman" w:hAnsi="Times New Roman" w:cs="Times New Roman" w:eastAsia="仿宋"/>
          <w:b w:val="0"/>
          <w:sz w:val="28"/>
        </w:rPr>
        <w:t>Jefferies认为，如果法案通过，将为银行、资产管理公司和交易所扩展代币化、托管、质押、借贷及其他基于区块链的服务提供持久的监管框架。该银行还预计，这将加速代币化证券的发展，拓宽加密货币交易所交易基金（ETF）产品范围，超越比特币和以太坊（ETH），并重振加密基础设施的首次公开募股（IPO）管道。</w:t>
      </w:r>
    </w:p>
    <w:p>
      <w:pPr>
        <w:pStyle w:val="正文内容"/>
        <w:spacing w:before="0" w:after="0" w:line="240" w:lineRule="auto"/>
        <w:ind w:left="0" w:right="0" w:firstLine="560"/>
        <w:jc w:val="both"/>
      </w:pPr>
      <w:r>
        <w:rPr>
          <w:rFonts w:ascii="Times New Roman" w:hAnsi="Times New Roman" w:cs="Times New Roman" w:eastAsia="仿宋"/>
          <w:b w:val="0"/>
          <w:sz w:val="28"/>
        </w:rPr>
        <w:t>然而，延迟将延长监管不确定性。报告指出，尽管近期SEC、CFTC和货币监理署（OCC）的指引改善了前景，但机构行动可能被未来政府逆转，这可能导致受监管的金融机构在重新评估法律和合规风险的同时放缓区块链项目。</w:t>
      </w:r>
    </w:p>
    <w:p>
      <w:pPr>
        <w:pStyle w:val="正文内容"/>
        <w:spacing w:before="0" w:after="0" w:line="240" w:lineRule="auto"/>
        <w:ind w:left="0" w:right="0" w:firstLine="560"/>
        <w:jc w:val="both"/>
      </w:pPr>
      <w:r>
        <w:rPr>
          <w:rFonts w:ascii="Times New Roman" w:hAnsi="Times New Roman" w:cs="Times New Roman" w:eastAsia="仿宋"/>
          <w:b w:val="0"/>
          <w:sz w:val="28"/>
        </w:rPr>
        <w:t>Jefferies分析师预计，立法过程将推动与加密相关的股票（包括Circle（CRCL）、Coinbase（COIN）和CoinDesk的所有者Bullish（BLSH））以及特定加密代币的波动。对于Circle，该银行看到了混合影响：据报道，现行法案将关闭允许第三方如Coinbase对USDC持仓提供奖励的漏洞，可能减缓USDC的增长；同时，延迟将给Circle更多时间扩展支付网络并使收入来源多样化。报告补充说，长期来看，Circle最大的风险是日益激烈的竞争，而非立法本身，因为银行、金融科技公司和支付公司正在推出拥有更大分销网络的竞争性稳定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原文标题：Jefferies warns of crypto market volatility as Clarity Act faces Senate test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原文链接：https://www.coindesk.com/policy/2026/06/30/jefferies-warns-of-crypto-market-volatility-as-clarity-act-faces-senate-test</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2026-06-24 17:24 至 2026-07-01 17:24（北京时间，最近7天）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