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cs="Times New Roman" w:eastAsia="黑体"/>
          <w:b w:val="0"/>
          <w:sz w:val="32"/>
        </w:rPr>
        <w:t>目  录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黑体"/>
          <w:b w:val="0"/>
          <w:color w:val="2F5496"/>
          <w:sz w:val="32"/>
        </w:rPr>
        <w:t>【政策风向】</w:t>
      </w:r>
    </w:p>
    <w:p>
      <w:pPr>
        <w:pStyle w:val="ListParagraph"/>
        <w:spacing w:before="0" w:after="0"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暂无满足自动筛选条件的资讯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黑体"/>
          <w:b w:val="0"/>
          <w:color w:val="2F5496"/>
          <w:sz w:val="32"/>
        </w:rPr>
        <w:t>【行业前沿】</w:t>
      </w:r>
    </w:p>
    <w:p>
      <w:pPr>
        <w:pStyle w:val="ListParagraph"/>
        <w:spacing w:before="0" w:after="0"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以太坊Glamsterdam升级瞄准Q3推升Layer2吞吐量超10万TPS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黑体"/>
          <w:b w:val="0"/>
          <w:color w:val="2F5496"/>
          <w:sz w:val="32"/>
        </w:rPr>
        <w:t>【市场动态】</w:t>
      </w:r>
    </w:p>
    <w:p>
      <w:pPr>
        <w:pStyle w:val="ListParagraph"/>
        <w:spacing w:before="0" w:after="0"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暂无满足自动筛选条件的资讯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黑体"/>
          <w:b w:val="0"/>
          <w:color w:val="2F5496"/>
          <w:sz w:val="32"/>
        </w:rPr>
        <w:t>【意见领袖】</w:t>
      </w:r>
    </w:p>
    <w:p>
      <w:pPr>
        <w:pStyle w:val="ListParagraph"/>
        <w:spacing w:before="0" w:after="0"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比特币价格逼近6万美元超6亿美元多头仓位被清算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【政策风向】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暂无满足自动筛选条件的资讯。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【行业前沿】</w:t>
      </w:r>
    </w:p>
    <w:p>
      <w:pPr>
        <w:pStyle w:val="文章一级标题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以太坊Glamsterdam升级瞄准Q3推升Layer2吞吐量超10万TPS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以太坊在2025年完成了Pectra和Fusaka两次硬分叉，确立了半年升级节奏。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Glamsterdam升级预计在2026年Q2或Q3，引入Verkle树实现无状态客户端，并推动Layer 2吞吐量超10万笔/秒。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ETH在2026年6月初交易价约1，970美元，较2025年8月历史高点4，951美元下跌超60%。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以太坊的Glamsterdam升级目标在2026年Q2或Q3，旨在将Layer 2的可持续吞吐量提升至超10万TPS，而ETH当前交易价约1，970美元，为2025年8月历史高点的约40%。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以太坊在2025年完成了两次硬分叉：Pectra于5月7日上线，结合了Prague执行层和Electra共识层，共部署11个以太坊改进提案（EIP），其中EIP-7251将验证者最大有效余额从32 ETH提高至2，048 ETH，EIP-7702引入了账户抽象原语；Fusaka于12月上线，提供了额外的数据可用性改进，增加了rollup的blob吞吐量。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两次分叉使以太坊从每年一次升级转变为结构化的半年发布周期。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下一个里程碑是Glamsterdam升级，结合了Glam共识层和Amsterdam执行层变更，核心功能包括完整Verkle树实现，将支持无状态客户端并大幅降低运行节点的硬件要求。Trent Bolar在分析中指出：“Glamsterdam预计是‘以太坊路线图’中‘The Surge’部分完成前的最后重大步骤，将在保持完全去中心化的同时，推动Layer 2生态系统的可持续吞吐量超过10万TPS。”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2026年的第二次分叉代号Heze-Bogota，计划在年底进行，将针对抗审查机制和早期量子安全准备。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以太坊基金会于2月发布了2026年协议优先级，将开发组织为三个支柱：扩展、用户体验改进和L1强化以应对量子安全。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截至2026年6月初，以太坊交易价约1，970美元，较2025年8月的历史高点4，951美元下跌超过60%。14日相对强弱指数（RSI）为33.56，接近超卖区域。50日移动均线为2，194美元，200日移动均线为2，509美元，当前价格均低于这两条趋势线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InvestingHaven预测2026年交易区间为1，800至3，500美元，平均预测接近2，700美元。Changelly模型估计2026年12月的更保守上限为2，582美元。LiteFinance提到，在Layer 2增长和机构需求推动的乐观情景下，ETH可能测试5，301美元。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CoinDCX报道称，Coinpaper高级加密货币市场分析师Alex Thornton指出，约74%的以太坊供应目前处于盈利状态，30天实现价格估计接近1，980美元。长期持有者供应量正在增加，这一模式与积累而非分配一致。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2026年3月，美国证券交易委员会（SEC）和商品期货交易委员会（CFTC）联合框架将16种数字资产分类为商品，以太坊被纳入CFTC监管范围，消除了剩余证券执法风险。</w:t>
      </w:r>
    </w:p>
    <w:p>
      <w:pPr>
        <w:pStyle w:val="信息来源"/>
        <w:spacing w:before="50" w:after="100" w:line="240" w:lineRule="auto"/>
        <w:ind w:left="0" w:right="0" w:firstLine="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（信息来源：FinanceFeeds）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原文标题：Ethereum Eyes $3，500 as Glamsterdam Upgrade Targets Q3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原文链接：https://financefeeds.com/ethereum-eyes-3500-as-glamsterdam-upgrade/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【市场动态】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暂无满足自动筛选条件的资讯。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【意见领袖】</w:t>
      </w:r>
    </w:p>
    <w:p>
      <w:pPr>
        <w:pStyle w:val="文章一级标题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比特币价格逼近6万美元超6亿美元多头仓位被清算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比特币价格跌至约61，300美元后反弹至64，690美元，期间超过6亿美元多头仓位被清算。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部分交易员预期比特币将出现短期反弹至69，000-70，000美元，但周线图熊旗形态暗示可能进一步跌至50，000-52，000美元。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200周简单移动平均线（约61，800美元）是关键支撑，若反弹可能测试70，000美元目标。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比特币价格短暂跌至6万美元附近，导致超过6亿美元多头仓位被清算，市场对当前反弹是否为底部存在分歧。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比特币（BTC）价格短暂跌至60，000美元区域，引发超过6亿美元的多头仓位清算，引发市场质疑最新反弹究竟是真正的底部，还是杠杆出清后的“救济性反弹”。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BTC周四跌至约61，300美元，随后反弹5.52%至约64，690美元，此次反弹与以色列和黎巴嫩同意实施停火的消息重合。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根据数据来源CoinGlass，24小时内BTC仓位清算总额超过7.37亿美元，多头交易者承受了大部分损失，其中超过6.17亿美元的多头仓位被清除，显示看涨交易者在抛售前仓位极度激进。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BTC的急剧反弹使部分交易者认为底部已至。交易员RidaaXBT表示，BTC可能出现“救济性反弹”至69，000-70，000美元区间，暗示清算驱动的抛售可能已耗尽短期卖方力量。交易员ZordXBT也持类似观点，指出BTC的长下影线表明买家在低点附近积极介入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另一方面，加密交易员Hitman42.eth警告，BTC多头可能庆祝过早，并指出比特币反弹最终可能诱多。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比特币周线图仍显示熊旗形态向下突破，保持进一步跌至50，000-52，000美元区域的风险。该形态出现在BTC未能突破旗形上轨线之后，成交量增加强化了下行动能。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然而，只要BTC交易于200周简单移动平均线（约61，800美元）之上，熊市情景便未确认。该水平在2015年、2018年和2020年等比特币熊市中曾作为重要的周期底部区域。若从200周均线强劲反弹，将削弱或可能取消熊旗形态的向下突破，使BTC价格有机会测试70，000美元作为下一上行目标。</w:t>
      </w:r>
    </w:p>
    <w:p>
      <w:pPr>
        <w:pStyle w:val="信息来源"/>
        <w:spacing w:before="50" w:after="100" w:line="240" w:lineRule="auto"/>
        <w:ind w:left="0" w:right="0" w:firstLine="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（信息来源：Cointelegraph）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原文标题：Over $600M in Bitcoin longs liquidated as BTC dips toward $60K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原文链接：https://cointelegraph.com/markets/over-600m-in-bitcoin-longs-liquidated-as-btc-dips-toward-60k</w:t>
      </w:r>
    </w:p>
    <w:sectPr w:rsidR="00FC693F" w:rsidRPr="0006063C" w:rsidSect="00034616">
      <w:pgSz w:w="12240" w:h="15840"/>
      <w:pgMar w:top="1440" w:right="1803" w:bottom="1440" w:left="1803" w:header="850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  <w:ind w:left="0" w:right="0" w:firstLine="0"/>
    </w:pPr>
    <w:rPr>
      <w:rFonts w:ascii="Times New Roman" w:hAnsi="Times New Roman" w:cs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40" w:line="240" w:lineRule="auto"/>
      <w:ind w:left="0" w:right="0"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2F54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文章一级标题">
    <w:name w:val="文章一级标题"/>
    <w:pPr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黑体"/>
      <w:sz w:val="30"/>
    </w:rPr>
  </w:style>
  <w:style w:type="paragraph" w:customStyle="1" w:styleId="正文内容">
    <w:name w:val="正文内容"/>
    <w:basedOn w:val="Normal"/>
    <w:pPr>
      <w:spacing w:before="0" w:after="0" w:line="240" w:lineRule="auto"/>
      <w:ind w:left="0" w:right="0" w:firstLine="560"/>
      <w:jc w:val="both"/>
    </w:pPr>
    <w:rPr>
      <w:rFonts w:ascii="Times New Roman" w:hAnsi="Times New Roman" w:cs="Times New Roman" w:eastAsia="仿宋"/>
      <w:sz w:val="28"/>
    </w:rPr>
  </w:style>
  <w:style w:type="paragraph" w:customStyle="1" w:styleId="信息来源">
    <w:name w:val="信息来源"/>
    <w:basedOn w:val="Normal"/>
    <w:pPr>
      <w:spacing w:before="50" w:after="100" w:line="240" w:lineRule="auto"/>
      <w:ind w:left="0" w:right="0" w:firstLine="0"/>
      <w:jc w:val="right"/>
    </w:pPr>
    <w:rPr>
      <w:rFonts w:ascii="Times New Roman" w:hAnsi="Times New Roman" w:cs="Times New Roman" w:eastAsia="仿宋"/>
      <w:sz w:val="21"/>
    </w:rPr>
  </w:style>
  <w:style w:type="paragraph" w:customStyle="1" w:styleId="原文信息">
    <w:name w:val="原文信息"/>
    <w:basedOn w:val="Normal"/>
    <w:pPr>
      <w:spacing w:before="0" w:after="0" w:line="240" w:lineRule="auto"/>
      <w:ind w:left="0" w:right="0" w:firstLine="0"/>
      <w:jc w:val="left"/>
    </w:pPr>
    <w:rPr>
      <w:rFonts w:ascii="Times New Roman" w:hAnsi="Times New Roman" w:cs="Times New Roman" w:eastAsia="仿宋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加密货币观察周刊</dc:title>
  <dc:subject>2026-06-01 17:39 至 2026-06-04 17:39（北京时间，最近3天）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