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center"/>
      </w:pPr>
      <w:r>
        <w:rPr>
          <w:rFonts w:ascii="Times New Roman" w:hAnsi="Times New Roman" w:eastAsia="黑体"/>
          <w:b/>
          <w:i w:val="0"/>
          <w:sz w:val="32"/>
        </w:rPr>
        <w:t>目  录</w:t>
      </w:r>
    </w:p>
    <w:p>
      <w:pPr>
        <w:spacing w:before="160" w:after="80" w:line="360" w:lineRule="auto"/>
      </w:pPr>
      <w:r>
        <w:rPr>
          <w:rFonts w:ascii="Times New Roman" w:hAnsi="Times New Roman" w:eastAsia="黑体"/>
          <w:b/>
          <w:i w:val="0"/>
          <w:sz w:val="24"/>
        </w:rPr>
        <w:t>【政策风向】</w:t>
      </w:r>
    </w:p>
    <w:p>
      <w:pPr>
        <w:spacing w:before="0" w:after="40" w:line="360" w:lineRule="auto"/>
      </w:pPr>
      <w:r>
        <w:rPr>
          <w:rFonts w:ascii="Times New Roman" w:hAnsi="Times New Roman" w:eastAsia="宋体"/>
          <w:b w:val="0"/>
          <w:i w:val="0"/>
          <w:sz w:val="22"/>
        </w:rPr>
        <w:t>· 美参议员卢米斯力推CLARITY法案，为数字资产监管奠定基础</w:t>
      </w:r>
    </w:p>
    <w:p>
      <w:pPr>
        <w:spacing w:before="0" w:after="40" w:line="360" w:lineRule="auto"/>
      </w:pPr>
      <w:r>
        <w:rPr>
          <w:rFonts w:ascii="Times New Roman" w:hAnsi="Times New Roman" w:eastAsia="宋体"/>
          <w:b w:val="0"/>
          <w:i w:val="0"/>
          <w:sz w:val="22"/>
        </w:rPr>
        <w:t>· 美国商品期货交易委员会与国家冰球联盟签署备忘录，强化预测市场监管</w:t>
      </w:r>
    </w:p>
    <w:p>
      <w:pPr>
        <w:spacing w:before="0" w:after="40" w:line="360" w:lineRule="auto"/>
      </w:pPr>
      <w:r>
        <w:rPr>
          <w:rFonts w:ascii="Times New Roman" w:hAnsi="Times New Roman" w:eastAsia="宋体"/>
          <w:b w:val="0"/>
          <w:i w:val="0"/>
          <w:sz w:val="22"/>
        </w:rPr>
        <w:t>· 欧盟委员会启动MiCA审查，重点聚焦稳定币、DeFi与质押规则</w:t>
      </w:r>
    </w:p>
    <w:p>
      <w:pPr>
        <w:spacing w:before="160" w:after="80" w:line="360" w:lineRule="auto"/>
      </w:pPr>
      <w:r>
        <w:rPr>
          <w:rFonts w:ascii="Times New Roman" w:hAnsi="Times New Roman" w:eastAsia="黑体"/>
          <w:b/>
          <w:i w:val="0"/>
          <w:sz w:val="24"/>
        </w:rPr>
        <w:t>【行业前沿】</w:t>
      </w:r>
    </w:p>
    <w:p>
      <w:pPr>
        <w:spacing w:before="0" w:after="40" w:line="360" w:lineRule="auto"/>
      </w:pPr>
      <w:r>
        <w:rPr>
          <w:rFonts w:ascii="Times New Roman" w:hAnsi="Times New Roman" w:eastAsia="宋体"/>
          <w:b w:val="0"/>
          <w:i w:val="0"/>
          <w:sz w:val="22"/>
        </w:rPr>
        <w:t>· 代币化现实世界资产在DeFi协议中的整合陷入停滞</w:t>
      </w:r>
    </w:p>
    <w:p>
      <w:pPr>
        <w:spacing w:before="0" w:after="40" w:line="360" w:lineRule="auto"/>
      </w:pPr>
      <w:r>
        <w:rPr>
          <w:rFonts w:ascii="Times New Roman" w:hAnsi="Times New Roman" w:eastAsia="宋体"/>
          <w:b w:val="0"/>
          <w:i w:val="0"/>
          <w:sz w:val="22"/>
        </w:rPr>
        <w:t>· Syndicate Labs宣布关闭，以太坊二层网络市场整合加速</w:t>
      </w:r>
    </w:p>
    <w:p>
      <w:pPr>
        <w:spacing w:before="160" w:after="80" w:line="360" w:lineRule="auto"/>
      </w:pPr>
      <w:r>
        <w:rPr>
          <w:rFonts w:ascii="Times New Roman" w:hAnsi="Times New Roman" w:eastAsia="黑体"/>
          <w:b/>
          <w:i w:val="0"/>
          <w:sz w:val="24"/>
        </w:rPr>
        <w:t>【市场动态】</w:t>
      </w:r>
    </w:p>
    <w:p>
      <w:pPr>
        <w:spacing w:before="0" w:after="40" w:line="360" w:lineRule="auto"/>
      </w:pPr>
      <w:r>
        <w:rPr>
          <w:rFonts w:ascii="Times New Roman" w:hAnsi="Times New Roman" w:eastAsia="宋体"/>
          <w:b w:val="0"/>
          <w:i w:val="0"/>
          <w:sz w:val="22"/>
        </w:rPr>
        <w:t>· 美国现货比特币ETF流出额达1.008亿美元，连跌五日</w:t>
      </w:r>
    </w:p>
    <w:p>
      <w:pPr>
        <w:spacing w:before="0" w:after="40" w:line="360" w:lineRule="auto"/>
      </w:pPr>
      <w:r>
        <w:rPr>
          <w:rFonts w:ascii="Times New Roman" w:hAnsi="Times New Roman" w:eastAsia="宋体"/>
          <w:b w:val="0"/>
          <w:i w:val="0"/>
          <w:sz w:val="22"/>
        </w:rPr>
        <w:t>· 比特币波动率降至七个月低点，机构需求稳定市场</w:t>
      </w:r>
    </w:p>
    <w:p>
      <w:pPr>
        <w:spacing w:before="160" w:after="80" w:line="360" w:lineRule="auto"/>
      </w:pPr>
      <w:r>
        <w:rPr>
          <w:rFonts w:ascii="Times New Roman" w:hAnsi="Times New Roman" w:eastAsia="黑体"/>
          <w:b/>
          <w:i w:val="0"/>
          <w:sz w:val="24"/>
        </w:rPr>
        <w:t>【意见领袖】</w:t>
      </w:r>
    </w:p>
    <w:p>
      <w:pPr>
        <w:spacing w:before="0" w:after="40" w:line="360" w:lineRule="auto"/>
      </w:pPr>
      <w:r>
        <w:rPr>
          <w:rFonts w:ascii="Times New Roman" w:hAnsi="Times New Roman" w:eastAsia="宋体"/>
          <w:b w:val="0"/>
          <w:i w:val="0"/>
          <w:sz w:val="22"/>
        </w:rPr>
        <w:t>· 马克·库班：比特币对冲叙事失败，我已减持大部分持仓</w:t>
      </w:r>
    </w:p>
    <w:p>
      <w:pPr>
        <w:spacing w:before="0" w:after="40" w:line="360" w:lineRule="auto"/>
      </w:pPr>
      <w:r>
        <w:rPr>
          <w:rFonts w:ascii="Times New Roman" w:hAnsi="Times New Roman" w:eastAsia="宋体"/>
          <w:b w:val="0"/>
          <w:i w:val="0"/>
          <w:sz w:val="22"/>
        </w:rPr>
        <w:t>· 鲨鱼坦克明星投资人凯文·奥利里：比特币主流采用取决于一个条件</w:t>
      </w:r>
    </w:p>
    <w:p>
      <w:pPr>
        <w:spacing w:before="160" w:after="80" w:line="360" w:lineRule="auto"/>
      </w:pPr>
      <w:r>
        <w:rPr>
          <w:rFonts w:ascii="Times New Roman" w:hAnsi="Times New Roman" w:eastAsia="黑体"/>
          <w:b/>
          <w:i w:val="0"/>
          <w:sz w:val="24"/>
        </w:rPr>
        <w:t>【专题研究】</w:t>
      </w:r>
    </w:p>
    <w:p>
      <w:pPr>
        <w:spacing w:before="0" w:after="40" w:line="360" w:lineRule="auto"/>
      </w:pPr>
      <w:r>
        <w:rPr>
          <w:rFonts w:ascii="Times New Roman" w:hAnsi="Times New Roman" w:eastAsia="宋体"/>
          <w:b w:val="0"/>
          <w:i w:val="0"/>
          <w:sz w:val="22"/>
        </w:rPr>
        <w:t>· Circle增发4.39亿枚USDC：链上需求回暖的信号？</w:t>
      </w:r>
    </w:p>
    <w:p>
      <w:r>
        <w:br w:type="page"/>
      </w:r>
    </w:p>
    <w:p>
      <w:pPr>
        <w:spacing w:before="0" w:after="240" w:line="360" w:lineRule="auto"/>
      </w:pPr>
      <w:r>
        <w:rPr>
          <w:rFonts w:ascii="Times New Roman" w:hAnsi="Times New Roman" w:eastAsia="黑体"/>
          <w:b/>
          <w:i w:val="0"/>
          <w:sz w:val="32"/>
        </w:rPr>
        <w:t>【政策风向】</w:t>
      </w:r>
    </w:p>
    <w:p>
      <w:pPr>
        <w:spacing w:before="80" w:after="160" w:line="360" w:lineRule="auto"/>
      </w:pPr>
      <w:r>
        <w:rPr>
          <w:rFonts w:ascii="Times New Roman" w:hAnsi="Times New Roman" w:eastAsia="黑体"/>
          <w:b/>
          <w:i w:val="0"/>
          <w:sz w:val="28"/>
        </w:rPr>
        <w:t>美参议员卢米斯力推CLARITY法案，为数字资产监管奠定基础</w:t>
      </w:r>
    </w:p>
    <w:p>
      <w:pPr>
        <w:spacing w:before="0" w:after="120" w:line="360" w:lineRule="auto"/>
        <w:ind w:firstLine="480"/>
      </w:pPr>
      <w:r>
        <w:rPr>
          <w:rFonts w:ascii="Times New Roman" w:hAnsi="Times New Roman" w:eastAsia="宋体"/>
          <w:b w:val="0"/>
          <w:i w:val="0"/>
          <w:sz w:val="24"/>
        </w:rPr>
        <w:t>美国参议员辛西娅·卢米斯近日公开呼吁通过CLARITY法案，为数字资产行业提供明确的监管框架。该法案旨在解决联邦与州监管重叠问题，并赋予商品期货交易委员会对比特币等商品型数字资产的更大权限。</w:t>
      </w:r>
    </w:p>
    <w:p>
      <w:pPr>
        <w:spacing w:before="0" w:after="120" w:line="360" w:lineRule="auto"/>
        <w:ind w:firstLine="480"/>
      </w:pPr>
      <w:r>
        <w:rPr>
          <w:rFonts w:ascii="Times New Roman" w:hAnsi="Times New Roman" w:eastAsia="宋体"/>
          <w:b w:val="0"/>
          <w:i w:val="0"/>
          <w:sz w:val="24"/>
        </w:rPr>
        <w:t>美国怀俄明州参议员辛西娅·卢米斯在近期表态中强调，CLARITY法案对于建立统一的数字资产监管体系至关重要。该法案全称为《数字资产清晰度法案》，旨在明确各监管机构在数字资产领域的职责边界，避免多头监管造成的混乱。</w:t>
      </w:r>
    </w:p>
    <w:p>
      <w:pPr>
        <w:spacing w:before="0" w:after="120" w:line="360" w:lineRule="auto"/>
        <w:ind w:firstLine="480"/>
      </w:pPr>
      <w:r>
        <w:rPr>
          <w:rFonts w:ascii="Times New Roman" w:hAnsi="Times New Roman" w:eastAsia="宋体"/>
          <w:b w:val="0"/>
          <w:i w:val="0"/>
          <w:sz w:val="24"/>
        </w:rPr>
        <w:t>卢米斯指出，当前美国数字资产市场面临的最大挑战是监管不确定性，这阻碍了创新和资本流入。CLARITY法案将赋予商品期货交易委员会对比特币和以太坊这类被视为商品的数字资产的主要监管权，同时要求美国证券交易委员会在认定数字资产为证券时遵循更严格的标准。</w:t>
      </w:r>
    </w:p>
    <w:p>
      <w:pPr>
        <w:spacing w:before="0" w:after="120" w:line="360" w:lineRule="auto"/>
        <w:ind w:firstLine="480"/>
      </w:pPr>
      <w:r>
        <w:rPr>
          <w:rFonts w:ascii="Times New Roman" w:hAnsi="Times New Roman" w:eastAsia="宋体"/>
          <w:b w:val="0"/>
          <w:i w:val="0"/>
          <w:sz w:val="24"/>
        </w:rPr>
        <w:t>该法案还计划设立一个由行业专家、监管机构和学术界代表组成的咨询委员会，定期评估监管效果并提出改进建议。卢米斯表示，法案的推进将有助于美国在全球数字资产竞争中保持领先地位，并保护投资者权益。</w:t>
      </w:r>
    </w:p>
    <w:p>
      <w:pPr>
        <w:spacing w:before="0" w:after="120" w:line="360" w:lineRule="auto"/>
        <w:ind w:firstLine="480"/>
      </w:pPr>
      <w:r>
        <w:rPr>
          <w:rFonts w:ascii="Times New Roman" w:hAnsi="Times New Roman" w:eastAsia="宋体"/>
          <w:b w:val="0"/>
          <w:i w:val="0"/>
          <w:sz w:val="24"/>
        </w:rPr>
        <w:t>截至目前，CLARITY法案已获得多位两党议员的共同提案，但市场仍关注其在国会的审议进度。分析人士认为，若该法案通过，将大幅降低合规成本，并吸引更多机构投资者进入加密市场。</w:t>
      </w:r>
    </w:p>
    <w:p>
      <w:pPr>
        <w:spacing w:before="0" w:after="40" w:line="360" w:lineRule="auto"/>
        <w:jc w:val="center"/>
      </w:pPr>
      <w:r>
        <w:rPr>
          <w:rFonts w:ascii="Times New Roman" w:hAnsi="Times New Roman" w:eastAsia="宋体"/>
          <w:b w:val="0"/>
          <w:i w:val="0"/>
          <w:sz w:val="21"/>
        </w:rPr>
        <w:t>（信息来源：Crypto Briefing；发布时间：2026-05-22T12:13:02+08:00）</w:t>
      </w:r>
    </w:p>
    <w:p>
      <w:pPr>
        <w:spacing w:before="0" w:after="20" w:line="360" w:lineRule="auto"/>
      </w:pPr>
      <w:r>
        <w:rPr>
          <w:rFonts w:ascii="Times New Roman" w:hAnsi="Times New Roman" w:eastAsia="宋体"/>
          <w:b w:val="0"/>
          <w:i w:val="0"/>
          <w:sz w:val="18"/>
        </w:rPr>
        <w:t>原文标题：Sen. Cynthia Lummis advocates for CLARITY Act to ensure digital asset regulation</w:t>
      </w:r>
    </w:p>
    <w:p>
      <w:pPr>
        <w:spacing w:before="0" w:after="200" w:line="360" w:lineRule="auto"/>
      </w:pPr>
      <w:r>
        <w:rPr>
          <w:rFonts w:ascii="Times New Roman" w:hAnsi="Times New Roman" w:eastAsia="宋体"/>
          <w:b w:val="0"/>
          <w:i w:val="0"/>
          <w:sz w:val="18"/>
        </w:rPr>
        <w:t>原文链接：https://news.google.com/rss/articles/CBMickFVX3lxTE4wZk81YTR6dUctSnVvWFI5TUJoeS1lSXFRRUFzVnFqaFBOMmVVQWkwUlZaWmkycnJoSUVBXzVQZTVMb0djb2o5X0d6V1FpMFljSjd6a1JsQzQtQkM4UGpuWjhZZUZ3WkZEd2N5VmFINExQdw?oc=5</w:t>
      </w:r>
    </w:p>
    <w:p/>
    <w:p>
      <w:pPr>
        <w:spacing w:before="80" w:after="160" w:line="360" w:lineRule="auto"/>
      </w:pPr>
      <w:r>
        <w:rPr>
          <w:rFonts w:ascii="Times New Roman" w:hAnsi="Times New Roman" w:eastAsia="黑体"/>
          <w:b/>
          <w:i w:val="0"/>
          <w:sz w:val="28"/>
        </w:rPr>
        <w:t>美国商品期货交易委员会与国家冰球联盟签署备忘录，强化预测市场监管</w:t>
      </w:r>
    </w:p>
    <w:p>
      <w:pPr>
        <w:spacing w:before="0" w:after="120" w:line="360" w:lineRule="auto"/>
        <w:ind w:firstLine="480"/>
      </w:pPr>
      <w:r>
        <w:rPr>
          <w:rFonts w:ascii="Times New Roman" w:hAnsi="Times New Roman" w:eastAsia="宋体"/>
          <w:b w:val="0"/>
          <w:i w:val="0"/>
          <w:sz w:val="24"/>
        </w:rPr>
        <w:t>美国商品期货交易委员会与国家冰球联盟签署谅解备忘录，将就体育预测市场的数据共享与合规展开合作。此举标志着监管机构对新兴预测市场领域的介入进一步加深，也成为CFTC在加密货币博彩监管中的重要一步。</w:t>
      </w:r>
    </w:p>
    <w:p>
      <w:pPr>
        <w:spacing w:before="0" w:after="120" w:line="360" w:lineRule="auto"/>
        <w:ind w:firstLine="480"/>
      </w:pPr>
      <w:r>
        <w:rPr>
          <w:rFonts w:ascii="Times New Roman" w:hAnsi="Times New Roman" w:eastAsia="宋体"/>
          <w:b w:val="0"/>
          <w:i w:val="0"/>
          <w:sz w:val="24"/>
        </w:rPr>
        <w:t>根据官方信息，美国商品期货交易委员会与国家冰球联盟已正式签署一份谅解备忘录，旨在加强双方在体育预测市场领域的合作。该备忘录允许CFTC获取NHL的官方比赛数据，用于监测和调查可能存在的市场操纵行为。</w:t>
      </w:r>
    </w:p>
    <w:p>
      <w:pPr>
        <w:spacing w:before="0" w:after="120" w:line="360" w:lineRule="auto"/>
        <w:ind w:firstLine="480"/>
      </w:pPr>
      <w:r>
        <w:rPr>
          <w:rFonts w:ascii="Times New Roman" w:hAnsi="Times New Roman" w:eastAsia="宋体"/>
          <w:b w:val="0"/>
          <w:i w:val="0"/>
          <w:sz w:val="24"/>
        </w:rPr>
        <w:t>近年来，基于加密资产的体育预测平台增长迅猛，其透明度与诚信问题引起监管高度关注。CFTC表示，此次合作将有助于确保预测市场的基础数据来源可靠，并防止虚假信息或内幕交易影响市场公平。</w:t>
      </w:r>
    </w:p>
    <w:p>
      <w:pPr>
        <w:spacing w:before="0" w:after="120" w:line="360" w:lineRule="auto"/>
        <w:ind w:firstLine="480"/>
      </w:pPr>
      <w:r>
        <w:rPr>
          <w:rFonts w:ascii="Times New Roman" w:hAnsi="Times New Roman" w:eastAsia="宋体"/>
          <w:b w:val="0"/>
          <w:i w:val="0"/>
          <w:sz w:val="24"/>
        </w:rPr>
        <w:t>NHL方面称，与CFTC的协作将提升联盟在博彩领域的合规标准，并保护球迷和投资者的利益。该备忘录还设定了数据共享的框架，包括实时比赛结果、伤病报告等关键信息的传递。</w:t>
      </w:r>
    </w:p>
    <w:p>
      <w:pPr>
        <w:spacing w:before="0" w:after="120" w:line="360" w:lineRule="auto"/>
        <w:ind w:firstLine="480"/>
      </w:pPr>
      <w:r>
        <w:rPr>
          <w:rFonts w:ascii="Times New Roman" w:hAnsi="Times New Roman" w:eastAsia="宋体"/>
          <w:b w:val="0"/>
          <w:i w:val="0"/>
          <w:sz w:val="24"/>
        </w:rPr>
        <w:t>行业分析人士指出，监管机构与体育联盟的直接合作可能成为未来预测市场监管的新模式。CFTC近期已对多个预测市场平台采取执法行动，此次备忘录进一步表明了其对该领域加强约束的立场。</w:t>
      </w:r>
    </w:p>
    <w:p>
      <w:pPr>
        <w:spacing w:before="0" w:after="40" w:line="360" w:lineRule="auto"/>
        <w:jc w:val="center"/>
      </w:pPr>
      <w:r>
        <w:rPr>
          <w:rFonts w:ascii="Times New Roman" w:hAnsi="Times New Roman" w:eastAsia="宋体"/>
          <w:b w:val="0"/>
          <w:i w:val="0"/>
          <w:sz w:val="21"/>
        </w:rPr>
        <w:t>（信息来源：cointelegraph.com；发布时间：2026-05-22T14:44:10+08:00）</w:t>
      </w:r>
    </w:p>
    <w:p>
      <w:pPr>
        <w:spacing w:before="0" w:after="20" w:line="360" w:lineRule="auto"/>
      </w:pPr>
      <w:r>
        <w:rPr>
          <w:rFonts w:ascii="Times New Roman" w:hAnsi="Times New Roman" w:eastAsia="宋体"/>
          <w:b w:val="0"/>
          <w:i w:val="0"/>
          <w:sz w:val="18"/>
        </w:rPr>
        <w:t>原文标题：CFTC Signs MOU with National Hockey League over Prediction Markets</w:t>
      </w:r>
    </w:p>
    <w:p>
      <w:pPr>
        <w:spacing w:before="0" w:after="200" w:line="360" w:lineRule="auto"/>
      </w:pPr>
      <w:r>
        <w:rPr>
          <w:rFonts w:ascii="Times New Roman" w:hAnsi="Times New Roman" w:eastAsia="宋体"/>
          <w:b w:val="0"/>
          <w:i w:val="0"/>
          <w:sz w:val="18"/>
        </w:rPr>
        <w:t>原文链接：https://news.google.com/rss/articles/CBMigwFBVV95cUxPbFdVM2h5Z1Z6SDR6c3dqQVVSSUtCcF9rQzBDMndJUklkSVVTTVhKTGU4dWRYczhUM1czenVpTnU0U0tSYWdnOWhLdkhqZEttalJkbHZ4VmtuUzQ2MVFmcG5VdlNYaHVxZGhpeTBHdjBLRFRPcGFfSHRsQ0U0Y2s5RzBfbw?oc=5</w:t>
      </w:r>
    </w:p>
    <w:p/>
    <w:p>
      <w:pPr>
        <w:spacing w:before="80" w:after="160" w:line="360" w:lineRule="auto"/>
      </w:pPr>
      <w:r>
        <w:rPr>
          <w:rFonts w:ascii="Times New Roman" w:hAnsi="Times New Roman" w:eastAsia="黑体"/>
          <w:b/>
          <w:i w:val="0"/>
          <w:sz w:val="28"/>
        </w:rPr>
        <w:t>欧盟委员会启动MiCA审查，重点聚焦稳定币、DeFi与质押规则</w:t>
      </w:r>
    </w:p>
    <w:p>
      <w:pPr>
        <w:spacing w:before="0" w:after="120" w:line="360" w:lineRule="auto"/>
        <w:ind w:firstLine="480"/>
      </w:pPr>
      <w:r>
        <w:rPr>
          <w:rFonts w:ascii="Times New Roman" w:hAnsi="Times New Roman" w:eastAsia="宋体"/>
          <w:b w:val="0"/>
          <w:i w:val="0"/>
          <w:sz w:val="24"/>
        </w:rPr>
        <w:t>欧盟委员会正式启动对《加密资产市场法规》的全面审查，将重点评估稳定币、去中心化金融以及质押服务的现有规则。此次审查旨在确保监管框架适应快速演变的数字资产市场，并可能对稳定币发行商提出更严格的要求。</w:t>
      </w:r>
    </w:p>
    <w:p>
      <w:pPr>
        <w:spacing w:before="0" w:after="120" w:line="360" w:lineRule="auto"/>
        <w:ind w:firstLine="480"/>
      </w:pPr>
      <w:r>
        <w:rPr>
          <w:rFonts w:ascii="Times New Roman" w:hAnsi="Times New Roman" w:eastAsia="宋体"/>
          <w:b w:val="0"/>
          <w:i w:val="0"/>
          <w:sz w:val="24"/>
        </w:rPr>
        <w:t>欧盟委员会于本周宣布对MiCA法规进行公开审议，这是该法规全面生效后的首次系统性评估。审查范围涵盖稳定币的储备管理、DeFi协议的合规认定以及加密货币质押的监管待遇等核心议题。</w:t>
      </w:r>
    </w:p>
    <w:p>
      <w:pPr>
        <w:spacing w:before="0" w:after="120" w:line="360" w:lineRule="auto"/>
        <w:ind w:firstLine="480"/>
      </w:pPr>
      <w:r>
        <w:rPr>
          <w:rFonts w:ascii="Times New Roman" w:hAnsi="Times New Roman" w:eastAsia="宋体"/>
          <w:b w:val="0"/>
          <w:i w:val="0"/>
          <w:sz w:val="24"/>
        </w:rPr>
        <w:t>在稳定币方面，委员会将评估现行的1:1储备支持要求是否足够，并考虑引入针对算法稳定币的额外限制。对于DeFi，监管者希望明确去中心化自治组织的法律地位，并确保用户资金安全。质押规则方面，则关注验证者的委托机制和收益分配的透明度。</w:t>
      </w:r>
    </w:p>
    <w:p>
      <w:pPr>
        <w:spacing w:before="0" w:after="120" w:line="360" w:lineRule="auto"/>
        <w:ind w:firstLine="480"/>
      </w:pPr>
      <w:r>
        <w:rPr>
          <w:rFonts w:ascii="Times New Roman" w:hAnsi="Times New Roman" w:eastAsia="宋体"/>
          <w:b w:val="0"/>
          <w:i w:val="0"/>
          <w:sz w:val="24"/>
        </w:rPr>
        <w:t>该审查程序将持续至2026年底，期间将收集来自行业、学术机构和公众的意见。欧盟委员会表示，审查结果将用于修订MiCA法规的具体条款，以增强其对市场变化的适应性。</w:t>
      </w:r>
    </w:p>
    <w:p>
      <w:pPr>
        <w:spacing w:before="0" w:after="120" w:line="360" w:lineRule="auto"/>
        <w:ind w:firstLine="480"/>
      </w:pPr>
      <w:r>
        <w:rPr>
          <w:rFonts w:ascii="Times New Roman" w:hAnsi="Times New Roman" w:eastAsia="宋体"/>
          <w:b w:val="0"/>
          <w:i w:val="0"/>
          <w:sz w:val="24"/>
        </w:rPr>
        <w:t>市场参与者对此反应不一，部分机构认为这是完善监管的积极举措，而另一些则担心过度监管可能抑制创新。值得注意的是，此次审查正值欧洲37家银行联合推进欧元稳定币项目的关键时期，MiCA的调整将直接影响该项目的合规路径。</w:t>
      </w:r>
    </w:p>
    <w:p>
      <w:pPr>
        <w:spacing w:before="0" w:after="40" w:line="360" w:lineRule="auto"/>
        <w:jc w:val="center"/>
      </w:pPr>
      <w:r>
        <w:rPr>
          <w:rFonts w:ascii="Times New Roman" w:hAnsi="Times New Roman" w:eastAsia="宋体"/>
          <w:b w:val="0"/>
          <w:i w:val="0"/>
          <w:sz w:val="21"/>
        </w:rPr>
        <w:t>（信息来源：Bitcoin News；发布时间：2026-05-22T14:38:34+08:00）</w:t>
      </w:r>
    </w:p>
    <w:p>
      <w:pPr>
        <w:spacing w:before="0" w:after="20" w:line="360" w:lineRule="auto"/>
      </w:pPr>
      <w:r>
        <w:rPr>
          <w:rFonts w:ascii="Times New Roman" w:hAnsi="Times New Roman" w:eastAsia="宋体"/>
          <w:b w:val="0"/>
          <w:i w:val="0"/>
          <w:sz w:val="18"/>
        </w:rPr>
        <w:t>原文标题：European Commission Launches MiCA Review Targeting Stablecoins, DeFi and Staking Rules</w:t>
      </w:r>
    </w:p>
    <w:p>
      <w:pPr>
        <w:spacing w:before="0" w:after="200" w:line="360" w:lineRule="auto"/>
      </w:pPr>
      <w:r>
        <w:rPr>
          <w:rFonts w:ascii="Times New Roman" w:hAnsi="Times New Roman" w:eastAsia="宋体"/>
          <w:b w:val="0"/>
          <w:i w:val="0"/>
          <w:sz w:val="18"/>
        </w:rPr>
        <w:t>原文链接：https://news.google.com/rss/articles/CBMisAFBVV95cUxPcDJUWGhZNTNOeTA5WmVpTVJPTHpvMDdNU19oTzlUMVlCWUlHVENETldvb1NHOTNYaUJoMlNDTHAxVjVORkJzSkhRSjBTNC1FUjNwVjRQZU9DNE80d0l3NldtLXd6MlVBakFxUDVCa2pkejNGLUNicUVkZjFrNmQ5OTU1akZaa00tbkVyM3JXNGtXMTZmX1MwWUJIQzZSZzNCb2trWXdrMHFicG1LdDF5WQ?oc=5</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i w:val="0"/>
          <w:sz w:val="32"/>
        </w:rPr>
        <w:t>【行业前沿】</w:t>
      </w:r>
    </w:p>
    <w:p>
      <w:pPr>
        <w:spacing w:before="80" w:after="160" w:line="360" w:lineRule="auto"/>
      </w:pPr>
      <w:r>
        <w:rPr>
          <w:rFonts w:ascii="Times New Roman" w:hAnsi="Times New Roman" w:eastAsia="黑体"/>
          <w:b/>
          <w:i w:val="0"/>
          <w:sz w:val="28"/>
        </w:rPr>
        <w:t>代币化现实世界资产在DeFi协议中的整合陷入停滞</w:t>
      </w:r>
    </w:p>
    <w:p>
      <w:pPr>
        <w:spacing w:before="0" w:after="120" w:line="360" w:lineRule="auto"/>
        <w:ind w:firstLine="480"/>
      </w:pPr>
      <w:r>
        <w:rPr>
          <w:rFonts w:ascii="Times New Roman" w:hAnsi="Times New Roman" w:eastAsia="宋体"/>
          <w:b w:val="0"/>
          <w:i w:val="0"/>
          <w:sz w:val="24"/>
        </w:rPr>
        <w:t>据最新行业报告显示，代币化现实世界资产在各去中心化金融协议中的整合进展缓慢，尽管资产规模持续增长，但实际利用率和技术对接面临挑战。DeFi协议对RWA的接纳度远低于预期，跨链互操作性问题成为主要瓶颈。</w:t>
      </w:r>
    </w:p>
    <w:p>
      <w:pPr>
        <w:spacing w:before="0" w:after="120" w:line="360" w:lineRule="auto"/>
        <w:ind w:firstLine="480"/>
      </w:pPr>
      <w:r>
        <w:rPr>
          <w:rFonts w:ascii="Times New Roman" w:hAnsi="Times New Roman" w:eastAsia="宋体"/>
          <w:b w:val="0"/>
          <w:i w:val="0"/>
          <w:sz w:val="24"/>
        </w:rPr>
        <w:t>FinanceFeeds的一份分析指出，代币化现实世界资产尽管总锁仓价值在2026年第一季度达到新高，但在DeFi协议中的使用率却出现回落。许多协议仍将RWA视为边缘资产类别，缺乏统一的集成标准。</w:t>
      </w:r>
    </w:p>
    <w:p>
      <w:pPr>
        <w:spacing w:before="0" w:after="120" w:line="360" w:lineRule="auto"/>
        <w:ind w:firstLine="480"/>
      </w:pPr>
      <w:r>
        <w:rPr>
          <w:rFonts w:ascii="Times New Roman" w:hAnsi="Times New Roman" w:eastAsia="宋体"/>
          <w:b w:val="0"/>
          <w:i w:val="0"/>
          <w:sz w:val="24"/>
        </w:rPr>
        <w:t>技术障碍是导致整合停滞的关键因素。不同区块链之间的互操作性不足，使得RWA难以在多个DeFi生态间自由流动。此外，合规要求的差异也增加了协议运营者的负担，许多小型协议不愿承担额外的合规成本。</w:t>
      </w:r>
    </w:p>
    <w:p>
      <w:pPr>
        <w:spacing w:before="0" w:after="120" w:line="360" w:lineRule="auto"/>
        <w:ind w:firstLine="480"/>
      </w:pPr>
      <w:r>
        <w:rPr>
          <w:rFonts w:ascii="Times New Roman" w:hAnsi="Times New Roman" w:eastAsia="宋体"/>
          <w:b w:val="0"/>
          <w:i w:val="0"/>
          <w:sz w:val="24"/>
        </w:rPr>
        <w:t>从需求端看，投资者对RWA的兴趣主要集中在收益稳定的资产类别，如美国国债和房地产基金。然而，这些资产的代币化版本在DeFi中的借贷和质押场景并未如预期般流行，用户更倾向于使用原生加密资产。</w:t>
      </w:r>
    </w:p>
    <w:p>
      <w:pPr>
        <w:spacing w:before="0" w:after="120" w:line="360" w:lineRule="auto"/>
        <w:ind w:firstLine="480"/>
      </w:pPr>
      <w:r>
        <w:rPr>
          <w:rFonts w:ascii="Times New Roman" w:hAnsi="Times New Roman" w:eastAsia="宋体"/>
          <w:b w:val="0"/>
          <w:i w:val="0"/>
          <w:sz w:val="24"/>
        </w:rPr>
        <w:t>尽管如此，一些大型协议仍在积极探索集成方案。例如，专注于机构级RWA的平台正在测试跨链桥和合规预言机，以简化资产上链流程。行业普遍预期，随着监管框架的成熟和基础设施的完善，RWA整合将在2027年迎来拐点。</w:t>
      </w:r>
    </w:p>
    <w:p>
      <w:pPr>
        <w:spacing w:before="0" w:after="40" w:line="360" w:lineRule="auto"/>
        <w:jc w:val="center"/>
      </w:pPr>
      <w:r>
        <w:rPr>
          <w:rFonts w:ascii="Times New Roman" w:hAnsi="Times New Roman" w:eastAsia="宋体"/>
          <w:b w:val="0"/>
          <w:i w:val="0"/>
          <w:sz w:val="21"/>
        </w:rPr>
        <w:t>（信息来源：FinanceFeeds；发布时间：2026-05-22T17:16:12+08:00）</w:t>
      </w:r>
    </w:p>
    <w:p>
      <w:pPr>
        <w:spacing w:before="0" w:after="20" w:line="360" w:lineRule="auto"/>
      </w:pPr>
      <w:r>
        <w:rPr>
          <w:rFonts w:ascii="Times New Roman" w:hAnsi="Times New Roman" w:eastAsia="宋体"/>
          <w:b w:val="0"/>
          <w:i w:val="0"/>
          <w:sz w:val="18"/>
        </w:rPr>
        <w:t>原文标题：Tokenized Real World Assets Face Stagnant Integration Across DeFi Protocols</w:t>
      </w:r>
    </w:p>
    <w:p>
      <w:pPr>
        <w:spacing w:before="0" w:after="200" w:line="360" w:lineRule="auto"/>
      </w:pPr>
      <w:r>
        <w:rPr>
          <w:rFonts w:ascii="Times New Roman" w:hAnsi="Times New Roman" w:eastAsia="宋体"/>
          <w:b w:val="0"/>
          <w:i w:val="0"/>
          <w:sz w:val="18"/>
        </w:rPr>
        <w:t>原文链接：https://news.google.com/rss/articles/CBMiowFBVV95cUxPTkIzQ0xjUk55Z3JmbEhzQVhTUzk2cVU2bjZoWllURnVhNTEzajIyYWNjTzBXQlFoSl9BRHdka1g4OE96aERWX2NNdUd3N3RfYjlEMnJHVzFFQXhLd0NWOTFNUllzbXI4ZTJHOTNNS2tMNVZYc1lISmJrUUFvMHBXWm1DY0NNRDJqRE4xYVo2bGhua1dpWUg5dU96dllaV3ZRMUlj?oc=5</w:t>
      </w:r>
    </w:p>
    <w:p/>
    <w:p>
      <w:pPr>
        <w:spacing w:before="80" w:after="160" w:line="360" w:lineRule="auto"/>
      </w:pPr>
      <w:r>
        <w:rPr>
          <w:rFonts w:ascii="Times New Roman" w:hAnsi="Times New Roman" w:eastAsia="黑体"/>
          <w:b/>
          <w:i w:val="0"/>
          <w:sz w:val="28"/>
        </w:rPr>
        <w:t>Syndicate Labs宣布关闭，以太坊二层网络市场整合加速</w:t>
      </w:r>
    </w:p>
    <w:p>
      <w:pPr>
        <w:spacing w:before="0" w:after="120" w:line="360" w:lineRule="auto"/>
        <w:ind w:firstLine="480"/>
      </w:pPr>
      <w:r>
        <w:rPr>
          <w:rFonts w:ascii="Times New Roman" w:hAnsi="Times New Roman" w:eastAsia="宋体"/>
          <w:b w:val="0"/>
          <w:i w:val="0"/>
          <w:sz w:val="24"/>
        </w:rPr>
        <w:t>专注于以太坊二层网络基础设施的Syndicate Labs宣布停止运营，成为近期一系列关闭的区块链项目之一。该公司表示，rollup市场竞争加剧、融资环境恶化是关闭的主要原因。此举标志着以太坊扩展解决方案领域正经历深度整合。</w:t>
      </w:r>
    </w:p>
    <w:p>
      <w:pPr>
        <w:spacing w:before="0" w:after="120" w:line="360" w:lineRule="auto"/>
        <w:ind w:firstLine="480"/>
      </w:pPr>
      <w:r>
        <w:rPr>
          <w:rFonts w:ascii="Times New Roman" w:hAnsi="Times New Roman" w:eastAsia="宋体"/>
          <w:b w:val="0"/>
          <w:i w:val="0"/>
          <w:sz w:val="24"/>
        </w:rPr>
        <w:t>Syndicate Labs在官方声明中确认，公司将终止所有运营活动并退还剩余资金给投资者。该团队曾致力于开发基于Optimism堆栈的rollup部署工具，旨在降低企业构建二层网络的成本。</w:t>
      </w:r>
    </w:p>
    <w:p>
      <w:pPr>
        <w:spacing w:before="0" w:after="120" w:line="360" w:lineRule="auto"/>
        <w:ind w:firstLine="480"/>
      </w:pPr>
      <w:r>
        <w:rPr>
          <w:rFonts w:ascii="Times New Roman" w:hAnsi="Times New Roman" w:eastAsia="宋体"/>
          <w:b w:val="0"/>
          <w:i w:val="0"/>
          <w:sz w:val="24"/>
        </w:rPr>
        <w:t>过去一年，以太坊rollup市场经历了显著变化：头部项目如Arbitrum和Optimism占据了绝大多数市场份额，而小型竞争项目难以获取足够的开发者和流动性。Syndicate Labs的关闭是这一趋势的最新案例。</w:t>
      </w:r>
    </w:p>
    <w:p>
      <w:pPr>
        <w:spacing w:before="0" w:after="120" w:line="360" w:lineRule="auto"/>
        <w:ind w:firstLine="480"/>
      </w:pPr>
      <w:r>
        <w:rPr>
          <w:rFonts w:ascii="Times New Roman" w:hAnsi="Times New Roman" w:eastAsia="宋体"/>
          <w:b w:val="0"/>
          <w:i w:val="0"/>
          <w:sz w:val="24"/>
        </w:rPr>
        <w:t>行业观察人士指出，随着区块空间需求增速放缓，投资者对rollup项目的兴趣也明显降温。多个曾获知名风投支持的二层网络项目已相继宣布停止运营或转型。</w:t>
      </w:r>
    </w:p>
    <w:p>
      <w:pPr>
        <w:spacing w:before="0" w:after="120" w:line="360" w:lineRule="auto"/>
        <w:ind w:firstLine="480"/>
      </w:pPr>
      <w:r>
        <w:rPr>
          <w:rFonts w:ascii="Times New Roman" w:hAnsi="Times New Roman" w:eastAsia="宋体"/>
          <w:b w:val="0"/>
          <w:i w:val="0"/>
          <w:sz w:val="24"/>
        </w:rPr>
        <w:t>尽管如此，以太坊核心开发者和生态系统仍然致力于推动rollup技术的长期发展。EIP-4844等升级正在降低数据可用性成本，但市场竞争的残酷性使得只有少数项目能够存活。Syndicate Labs的退出可能预示着新一轮的行业洗牌。</w:t>
      </w:r>
    </w:p>
    <w:p>
      <w:pPr>
        <w:spacing w:before="0" w:after="40" w:line="360" w:lineRule="auto"/>
        <w:jc w:val="center"/>
      </w:pPr>
      <w:r>
        <w:rPr>
          <w:rFonts w:ascii="Times New Roman" w:hAnsi="Times New Roman" w:eastAsia="宋体"/>
          <w:b w:val="0"/>
          <w:i w:val="0"/>
          <w:sz w:val="21"/>
        </w:rPr>
        <w:t>（信息来源：blockchain.news；发布时间：2026-05-22T16:00:37+08:00）</w:t>
      </w:r>
    </w:p>
    <w:p>
      <w:pPr>
        <w:spacing w:before="0" w:after="20" w:line="360" w:lineRule="auto"/>
      </w:pPr>
      <w:r>
        <w:rPr>
          <w:rFonts w:ascii="Times New Roman" w:hAnsi="Times New Roman" w:eastAsia="宋体"/>
          <w:b w:val="0"/>
          <w:i w:val="0"/>
          <w:sz w:val="18"/>
        </w:rPr>
        <w:t>原文标题：Syndicate Labs Shuts Down as Ethereum Rollup Market Consolidates</w:t>
      </w:r>
    </w:p>
    <w:p>
      <w:pPr>
        <w:spacing w:before="0" w:after="200" w:line="360" w:lineRule="auto"/>
      </w:pPr>
      <w:r>
        <w:rPr>
          <w:rFonts w:ascii="Times New Roman" w:hAnsi="Times New Roman" w:eastAsia="宋体"/>
          <w:b w:val="0"/>
          <w:i w:val="0"/>
          <w:sz w:val="18"/>
        </w:rPr>
        <w:t>原文链接：https://news.google.com/rss/articles/CBMigAFBVV95cUxPX2pldDN1LW9DaXU3bmhDSnpYLXFuZTM5cEhQYlJnWVo5WlpmX2VpT3FiVTgzZkFpZS1mQ3VwXzBwbmFHWktvd2VVZU5pS3Z4dmU3dTZxdVBjWG9aUG51OVV1NlRqR3ozamhmRWhlNGswbmtTcEJZUzJFVjFBVXlVNQ?oc=5</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i w:val="0"/>
          <w:sz w:val="32"/>
        </w:rPr>
        <w:t>【市场动态】</w:t>
      </w:r>
    </w:p>
    <w:p>
      <w:pPr>
        <w:spacing w:before="80" w:after="160" w:line="360" w:lineRule="auto"/>
      </w:pPr>
      <w:r>
        <w:rPr>
          <w:rFonts w:ascii="Times New Roman" w:hAnsi="Times New Roman" w:eastAsia="黑体"/>
          <w:b/>
          <w:i w:val="0"/>
          <w:sz w:val="28"/>
        </w:rPr>
        <w:t>美国现货比特币ETF流出额达1.008亿美元，连跌五日</w:t>
      </w:r>
    </w:p>
    <w:p>
      <w:pPr>
        <w:spacing w:before="0" w:after="120" w:line="360" w:lineRule="auto"/>
        <w:ind w:firstLine="480"/>
      </w:pPr>
      <w:r>
        <w:rPr>
          <w:rFonts w:ascii="Times New Roman" w:hAnsi="Times New Roman" w:eastAsia="宋体"/>
          <w:b w:val="0"/>
          <w:i w:val="0"/>
          <w:sz w:val="24"/>
        </w:rPr>
        <w:t>美国现货比特币交易所交易基金连续第五个交易日出现资金净流出，5月22日单日净流出规模达1.008亿美元。机构投资者撤资趋势明显，市场情绪转向谨慎。</w:t>
      </w:r>
    </w:p>
    <w:p>
      <w:pPr>
        <w:spacing w:before="0" w:after="120" w:line="360" w:lineRule="auto"/>
        <w:ind w:firstLine="480"/>
      </w:pPr>
      <w:r>
        <w:rPr>
          <w:rFonts w:ascii="Times New Roman" w:hAnsi="Times New Roman" w:eastAsia="宋体"/>
          <w:b w:val="0"/>
          <w:i w:val="0"/>
          <w:sz w:val="24"/>
        </w:rPr>
        <w:t>根据最新数据，5月22日美国现货比特币ETF合计净赎回1.008亿美元，使过去五个交易日的累计流出额超过4亿美元。此次流出潮始于比特币价格跌破8万美元关口后，投资者担忧宏观不确定性加剧。</w:t>
      </w:r>
    </w:p>
    <w:p>
      <w:pPr>
        <w:spacing w:before="0" w:after="120" w:line="360" w:lineRule="auto"/>
        <w:ind w:firstLine="480"/>
      </w:pPr>
      <w:r>
        <w:rPr>
          <w:rFonts w:ascii="Times New Roman" w:hAnsi="Times New Roman" w:eastAsia="宋体"/>
          <w:b w:val="0"/>
          <w:i w:val="0"/>
          <w:sz w:val="24"/>
        </w:rPr>
        <w:t>分产品来看，贝莱德旗下的IBIT基金流出规模最大，单日净流出约4500万美元，而富达的FBTC也出现了约3000万美元的赎回。灰度GBTC则延续了此前的流出趋势，但幅度有所收窄。</w:t>
      </w:r>
    </w:p>
    <w:p>
      <w:pPr>
        <w:spacing w:before="0" w:after="120" w:line="360" w:lineRule="auto"/>
        <w:ind w:firstLine="480"/>
      </w:pPr>
      <w:r>
        <w:rPr>
          <w:rFonts w:ascii="Times New Roman" w:hAnsi="Times New Roman" w:eastAsia="宋体"/>
          <w:b w:val="0"/>
          <w:i w:val="0"/>
          <w:sz w:val="24"/>
        </w:rPr>
        <w:t>分析师认为，美联储加息预期升温以及地缘政治风险是导致ETF资金流出的主要原因。此外，比特币价格在75000-80000美元区间震荡，缺乏明确方向，机构投资者倾向于减仓观望。</w:t>
      </w:r>
    </w:p>
    <w:p>
      <w:pPr>
        <w:spacing w:before="0" w:after="120" w:line="360" w:lineRule="auto"/>
        <w:ind w:firstLine="480"/>
      </w:pPr>
      <w:r>
        <w:rPr>
          <w:rFonts w:ascii="Times New Roman" w:hAnsi="Times New Roman" w:eastAsia="宋体"/>
          <w:b w:val="0"/>
          <w:i w:val="0"/>
          <w:sz w:val="24"/>
        </w:rPr>
        <w:t>尽管短期流出明显，但比特币长期持有者仍在积累，市场结构并未完全转空。部分观察人士指出，ETF流出可能反映了获利了结行为，而非系统性撤离。未来需关注比特币能否守住75000美元的关键支撑位。</w:t>
      </w:r>
    </w:p>
    <w:p>
      <w:pPr>
        <w:spacing w:before="0" w:after="40" w:line="360" w:lineRule="auto"/>
        <w:jc w:val="center"/>
      </w:pPr>
      <w:r>
        <w:rPr>
          <w:rFonts w:ascii="Times New Roman" w:hAnsi="Times New Roman" w:eastAsia="宋体"/>
          <w:b w:val="0"/>
          <w:i w:val="0"/>
          <w:sz w:val="21"/>
        </w:rPr>
        <w:t>（信息来源：Bitcoin World；发布时间：2026-05-22T10:55:11+08:00）</w:t>
      </w:r>
    </w:p>
    <w:p>
      <w:pPr>
        <w:spacing w:before="0" w:after="20" w:line="360" w:lineRule="auto"/>
      </w:pPr>
      <w:r>
        <w:rPr>
          <w:rFonts w:ascii="Times New Roman" w:hAnsi="Times New Roman" w:eastAsia="宋体"/>
          <w:b w:val="0"/>
          <w:i w:val="0"/>
          <w:sz w:val="18"/>
        </w:rPr>
        <w:t>原文标题：US Spot Bitcoin ETFs Extend Losing Streak To Five Days With $100.8 Million In Outflows</w:t>
      </w:r>
    </w:p>
    <w:p>
      <w:pPr>
        <w:spacing w:before="0" w:after="200" w:line="360" w:lineRule="auto"/>
      </w:pPr>
      <w:r>
        <w:rPr>
          <w:rFonts w:ascii="Times New Roman" w:hAnsi="Times New Roman" w:eastAsia="宋体"/>
          <w:b w:val="0"/>
          <w:i w:val="0"/>
          <w:sz w:val="18"/>
        </w:rPr>
        <w:t>原文链接：https://news.google.com/rss/articles/CBMiTEFVX3lxTE94aTZHaU5Banp3clBVZURlZmdrRXRWb0RIQWR3T0dybm8xV0xnYkNLRmVkWWVKclJ5YWhWUjZQVUtQajJfRE1zeTJkSlA?oc=5</w:t>
      </w:r>
    </w:p>
    <w:p/>
    <w:p>
      <w:pPr>
        <w:spacing w:before="80" w:after="160" w:line="360" w:lineRule="auto"/>
      </w:pPr>
      <w:r>
        <w:rPr>
          <w:rFonts w:ascii="Times New Roman" w:hAnsi="Times New Roman" w:eastAsia="黑体"/>
          <w:b/>
          <w:i w:val="0"/>
          <w:sz w:val="28"/>
        </w:rPr>
        <w:t>比特币波动率降至七个月低点，机构需求稳定市场</w:t>
      </w:r>
    </w:p>
    <w:p>
      <w:pPr>
        <w:spacing w:before="0" w:after="120" w:line="360" w:lineRule="auto"/>
        <w:ind w:firstLine="480"/>
      </w:pPr>
      <w:r>
        <w:rPr>
          <w:rFonts w:ascii="Times New Roman" w:hAnsi="Times New Roman" w:eastAsia="宋体"/>
          <w:b w:val="0"/>
          <w:i w:val="0"/>
          <w:sz w:val="24"/>
        </w:rPr>
        <w:t>比特币的30天实际波动率已降至七个月以来的最低点，表明市场情绪趋于平稳。分析指出，机构投资者的持续买入和期权市场的成熟正在抑制价格的大幅波动。</w:t>
      </w:r>
    </w:p>
    <w:p>
      <w:pPr>
        <w:spacing w:before="0" w:after="120" w:line="360" w:lineRule="auto"/>
        <w:ind w:firstLine="480"/>
      </w:pPr>
      <w:r>
        <w:rPr>
          <w:rFonts w:ascii="Times New Roman" w:hAnsi="Times New Roman" w:eastAsia="宋体"/>
          <w:b w:val="0"/>
          <w:i w:val="0"/>
          <w:sz w:val="24"/>
        </w:rPr>
        <w:t>CoinDesk数据显示，比特币的30天年化波动率已降至约35%，为2025年10月以来的最低水平。此前，波动率曾在3月份飙升至60%以上，当时市场遭遇了银行危机等冲击。</w:t>
      </w:r>
    </w:p>
    <w:p>
      <w:pPr>
        <w:spacing w:before="0" w:after="120" w:line="360" w:lineRule="auto"/>
        <w:ind w:firstLine="480"/>
      </w:pPr>
      <w:r>
        <w:rPr>
          <w:rFonts w:ascii="Times New Roman" w:hAnsi="Times New Roman" w:eastAsia="宋体"/>
          <w:b w:val="0"/>
          <w:i w:val="0"/>
          <w:sz w:val="24"/>
        </w:rPr>
        <w:t>市场参与者认为，波动率下降与机构资金流入密切相关。尽管近期ETF出现资金流出，但来自企业财库和国家战略储备的比特币需求提供了价格支撑。此外，期权市场的活跃也为交易者提供了对冲工具，减少了现货市场的剧烈波动。</w:t>
      </w:r>
    </w:p>
    <w:p>
      <w:pPr>
        <w:spacing w:before="0" w:after="120" w:line="360" w:lineRule="auto"/>
        <w:ind w:firstLine="480"/>
      </w:pPr>
      <w:r>
        <w:rPr>
          <w:rFonts w:ascii="Times New Roman" w:hAnsi="Times New Roman" w:eastAsia="宋体"/>
          <w:b w:val="0"/>
          <w:i w:val="0"/>
          <w:sz w:val="24"/>
        </w:rPr>
        <w:t>低波动环境对矿工和长期持有者较为有利，因为这降低了短期价格风险。然而，部分交易员警告称，波动率压缩往往预示着未来可能出现方向的突破，市场需要警惕潜在的变盘。</w:t>
      </w:r>
    </w:p>
    <w:p>
      <w:pPr>
        <w:spacing w:before="0" w:after="120" w:line="360" w:lineRule="auto"/>
        <w:ind w:firstLine="480"/>
      </w:pPr>
      <w:r>
        <w:rPr>
          <w:rFonts w:ascii="Times New Roman" w:hAnsi="Times New Roman" w:eastAsia="宋体"/>
          <w:b w:val="0"/>
          <w:i w:val="0"/>
          <w:sz w:val="24"/>
        </w:rPr>
        <w:t>目前，比特币价格维持在77500美元附近，隐含波动率指标也同步走低。若波动率继续下行，可能吸引更多套利资金入场，进一步巩固当前的价格区间。</w:t>
      </w:r>
    </w:p>
    <w:p>
      <w:pPr>
        <w:spacing w:before="0" w:after="40" w:line="360" w:lineRule="auto"/>
        <w:jc w:val="center"/>
      </w:pPr>
      <w:r>
        <w:rPr>
          <w:rFonts w:ascii="Times New Roman" w:hAnsi="Times New Roman" w:eastAsia="宋体"/>
          <w:b w:val="0"/>
          <w:i w:val="0"/>
          <w:sz w:val="21"/>
        </w:rPr>
        <w:t>（信息来源：CoinDesk；发布时间：2026-05-22T16:26:34+08:00）</w:t>
      </w:r>
    </w:p>
    <w:p>
      <w:pPr>
        <w:spacing w:before="0" w:after="20" w:line="360" w:lineRule="auto"/>
      </w:pPr>
      <w:r>
        <w:rPr>
          <w:rFonts w:ascii="Times New Roman" w:hAnsi="Times New Roman" w:eastAsia="宋体"/>
          <w:b w:val="0"/>
          <w:i w:val="0"/>
          <w:sz w:val="18"/>
        </w:rPr>
        <w:t>原文标题：Bitcoin volatility hits 7 month low as institutional demand steadies markets</w:t>
      </w:r>
    </w:p>
    <w:p>
      <w:pPr>
        <w:spacing w:before="0" w:after="200" w:line="360" w:lineRule="auto"/>
      </w:pPr>
      <w:r>
        <w:rPr>
          <w:rFonts w:ascii="Times New Roman" w:hAnsi="Times New Roman" w:eastAsia="宋体"/>
          <w:b w:val="0"/>
          <w:i w:val="0"/>
          <w:sz w:val="18"/>
        </w:rPr>
        <w:t>原文链接：https://news.google.com/rss/articles/CBMisAFBVV95cUxQV3hEeFhQeXFXenE5dXgyaG9BblYzbmIxSzl2T05jOEF4U2E1TlMza2h2QUhXcW5qckhqYjBzOVZHZFJYNGF0STBlbFp0Vk5LQm1UaGc2N0VjN1BUdWdjTjlmODVEY09GaTlBQ2tPUGRRSFdITFFoQXFySGJ6N2c1bFh4U1MwRXgtek5nNGxxSjNsT2pLb3R0dG4xa0ZwTXNiWU15ZFc5TTkxVGtmRFJwcQ?oc=5</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i w:val="0"/>
          <w:sz w:val="32"/>
        </w:rPr>
        <w:t>【意见领袖】</w:t>
      </w:r>
    </w:p>
    <w:p>
      <w:pPr>
        <w:spacing w:before="80" w:after="160" w:line="360" w:lineRule="auto"/>
      </w:pPr>
      <w:r>
        <w:rPr>
          <w:rFonts w:ascii="Times New Roman" w:hAnsi="Times New Roman" w:eastAsia="黑体"/>
          <w:b/>
          <w:i w:val="0"/>
          <w:sz w:val="28"/>
        </w:rPr>
        <w:t>马克·库班：比特币对冲叙事失败，我已减持大部分持仓</w:t>
      </w:r>
    </w:p>
    <w:p>
      <w:pPr>
        <w:spacing w:before="0" w:after="120" w:line="360" w:lineRule="auto"/>
        <w:ind w:firstLine="480"/>
      </w:pPr>
      <w:r>
        <w:rPr>
          <w:rFonts w:ascii="Times New Roman" w:hAnsi="Times New Roman" w:eastAsia="宋体"/>
          <w:b w:val="0"/>
          <w:i w:val="0"/>
          <w:sz w:val="24"/>
        </w:rPr>
        <w:t>知名投资人马克·库班表示已出售其大部分比特币，理由是该资产的“对冲”功能未能如期发挥作用。他同时透露仍看好以太坊，并认为比特币已失去增长动力。</w:t>
      </w:r>
    </w:p>
    <w:p>
      <w:pPr>
        <w:spacing w:before="0" w:after="120" w:line="360" w:lineRule="auto"/>
        <w:ind w:firstLine="480"/>
      </w:pPr>
      <w:r>
        <w:rPr>
          <w:rFonts w:ascii="Times New Roman" w:hAnsi="Times New Roman" w:eastAsia="宋体"/>
          <w:b w:val="0"/>
          <w:i w:val="0"/>
          <w:sz w:val="24"/>
        </w:rPr>
        <w:t>马克·库班在接受采访时坦言，他对比特币作为通胀对冲工具的表现感到失望。他指出，比特币在利率上升和地缘冲突期间未能有效对冲风险，走势更像风险资产而非数字黄金。</w:t>
      </w:r>
    </w:p>
    <w:p>
      <w:pPr>
        <w:spacing w:before="0" w:after="120" w:line="360" w:lineRule="auto"/>
        <w:ind w:firstLine="480"/>
      </w:pPr>
      <w:r>
        <w:rPr>
          <w:rFonts w:ascii="Times New Roman" w:hAnsi="Times New Roman" w:eastAsia="宋体"/>
          <w:b w:val="0"/>
          <w:i w:val="0"/>
          <w:sz w:val="24"/>
        </w:rPr>
        <w:t>库班表示，他已抛售了手中绝大多数比特币，但并未清仓，仍保留少量持仓以观察后续发展。他同时强调，以太坊在智能合约和去中心化应用方面的实用性使其具有更大的长期潜力。</w:t>
      </w:r>
    </w:p>
    <w:p>
      <w:pPr>
        <w:spacing w:before="0" w:after="120" w:line="360" w:lineRule="auto"/>
        <w:ind w:firstLine="480"/>
      </w:pPr>
      <w:r>
        <w:rPr>
          <w:rFonts w:ascii="Times New Roman" w:hAnsi="Times New Roman" w:eastAsia="宋体"/>
          <w:b w:val="0"/>
          <w:i w:val="0"/>
          <w:sz w:val="24"/>
        </w:rPr>
        <w:t>库班还批评了比特币社区的固步自封，认为比特币在技术升级和应用拓展方面进展缓慢。相比之下，以太坊、Solana等平台在生态建设上更为积极。</w:t>
      </w:r>
    </w:p>
    <w:p>
      <w:pPr>
        <w:spacing w:before="0" w:after="120" w:line="360" w:lineRule="auto"/>
        <w:ind w:firstLine="480"/>
      </w:pPr>
      <w:r>
        <w:rPr>
          <w:rFonts w:ascii="Times New Roman" w:hAnsi="Times New Roman" w:eastAsia="宋体"/>
          <w:b w:val="0"/>
          <w:i w:val="0"/>
          <w:sz w:val="24"/>
        </w:rPr>
        <w:t>这位亿万富翁的观点引发了市场热议。部分意见认同比特币叙事需要调整，而另一些长期支持者则认为短期价格表现不能否定比特币作为价值储存的长期前景。</w:t>
      </w:r>
    </w:p>
    <w:p>
      <w:pPr>
        <w:spacing w:before="0" w:after="40" w:line="360" w:lineRule="auto"/>
        <w:jc w:val="center"/>
      </w:pPr>
      <w:r>
        <w:rPr>
          <w:rFonts w:ascii="Times New Roman" w:hAnsi="Times New Roman" w:eastAsia="宋体"/>
          <w:b w:val="0"/>
          <w:i w:val="0"/>
          <w:sz w:val="21"/>
        </w:rPr>
        <w:t>（信息来源：CoinDesk；发布时间：2026-05-22T01:34:39+08:00）</w:t>
      </w:r>
    </w:p>
    <w:p>
      <w:pPr>
        <w:spacing w:before="0" w:after="20" w:line="360" w:lineRule="auto"/>
      </w:pPr>
      <w:r>
        <w:rPr>
          <w:rFonts w:ascii="Times New Roman" w:hAnsi="Times New Roman" w:eastAsia="宋体"/>
          <w:b w:val="0"/>
          <w:i w:val="0"/>
          <w:sz w:val="18"/>
        </w:rPr>
        <w:t>原文标题：Mark Cuban says he sold most of his Bitcoin after failed hedge narrative 'disappointed' the billionaire</w:t>
      </w:r>
    </w:p>
    <w:p>
      <w:pPr>
        <w:spacing w:before="0" w:after="200" w:line="360" w:lineRule="auto"/>
      </w:pPr>
      <w:r>
        <w:rPr>
          <w:rFonts w:ascii="Times New Roman" w:hAnsi="Times New Roman" w:eastAsia="宋体"/>
          <w:b w:val="0"/>
          <w:i w:val="0"/>
          <w:sz w:val="18"/>
        </w:rPr>
        <w:t>原文链接：https://news.google.com/rss/articles/CBMi3gFBVV95cUxNa2lUeFZZb211OUFCSno2M0lWaWNfVlZzYmhhMXhUazAzWGNLdFdDSE9wZnp4QmdkdVdSSWxCZ3laY2U1anBaXzVWRkFMSWV4bkRMZFNyUGNxTFNBT3F0SjVTUXNXbDBkdWRSX1hQUW1laDNLWDFqSjd2WEdUbGRlQUlRMTNBTnRsdnc0a2MyTi1ZTTJ4S1BwUS1EaUNPdDRzV3hVd3pKeG9oc2pYcHBDS1kwNDFqcHNBSGF3b1pBMWdNTTlTRTQ5MmhtcE9lN01ZSnZWeHNVV29PNUx0VHc?oc=5</w:t>
      </w:r>
    </w:p>
    <w:p/>
    <w:p>
      <w:pPr>
        <w:spacing w:before="80" w:after="160" w:line="360" w:lineRule="auto"/>
      </w:pPr>
      <w:r>
        <w:rPr>
          <w:rFonts w:ascii="Times New Roman" w:hAnsi="Times New Roman" w:eastAsia="黑体"/>
          <w:b/>
          <w:i w:val="0"/>
          <w:sz w:val="28"/>
        </w:rPr>
        <w:t>鲨鱼坦克明星投资人凯文·奥利里：比特币主流采用取决于一个条件</w:t>
      </w:r>
    </w:p>
    <w:p>
      <w:pPr>
        <w:spacing w:before="0" w:after="120" w:line="360" w:lineRule="auto"/>
        <w:ind w:firstLine="480"/>
      </w:pPr>
      <w:r>
        <w:rPr>
          <w:rFonts w:ascii="Times New Roman" w:hAnsi="Times New Roman" w:eastAsia="宋体"/>
          <w:b w:val="0"/>
          <w:i w:val="0"/>
          <w:sz w:val="24"/>
        </w:rPr>
        <w:t>知名投资人凯文·奥利里表示，比特币要真正实现主流采用，必须满足一个关键条件：获得全球主要监管机构的全面认可。他认为，机构资金只有在明确的合规框架下才会大规模入场。</w:t>
      </w:r>
    </w:p>
    <w:p>
      <w:pPr>
        <w:spacing w:before="0" w:after="120" w:line="360" w:lineRule="auto"/>
        <w:ind w:firstLine="480"/>
      </w:pPr>
      <w:r>
        <w:rPr>
          <w:rFonts w:ascii="Times New Roman" w:hAnsi="Times New Roman" w:eastAsia="宋体"/>
          <w:b w:val="0"/>
          <w:i w:val="0"/>
          <w:sz w:val="24"/>
        </w:rPr>
        <w:t>凯文·奥利里在最近的一次访谈中重申了他对比特币的态度：尽管个人持有一定仓位，但比特币仍未能成为主流资产。他指出，除非美国、欧盟和亚洲主要经济体建立统一的数字资产监管标准，否则传统金融机构不会大规模配置比特币。</w:t>
      </w:r>
    </w:p>
    <w:p>
      <w:pPr>
        <w:spacing w:before="0" w:after="120" w:line="360" w:lineRule="auto"/>
        <w:ind w:firstLine="480"/>
      </w:pPr>
      <w:r>
        <w:rPr>
          <w:rFonts w:ascii="Times New Roman" w:hAnsi="Times New Roman" w:eastAsia="宋体"/>
          <w:b w:val="0"/>
          <w:i w:val="0"/>
          <w:sz w:val="24"/>
        </w:rPr>
        <w:t>奥利里强调，监管清晰度是消除机构投资者顾虑的首要因素。他举出美国SEC正在推进的CLARITY法案和欧盟MiCA审查作为积极信号，但认为进展仍不够快。</w:t>
      </w:r>
    </w:p>
    <w:p>
      <w:pPr>
        <w:spacing w:before="0" w:after="120" w:line="360" w:lineRule="auto"/>
        <w:ind w:firstLine="480"/>
      </w:pPr>
      <w:r>
        <w:rPr>
          <w:rFonts w:ascii="Times New Roman" w:hAnsi="Times New Roman" w:eastAsia="宋体"/>
          <w:b w:val="0"/>
          <w:i w:val="0"/>
          <w:sz w:val="24"/>
        </w:rPr>
        <w:t>此外，奥利里认为比特币的环境担忧和可扩展性问题也需要解决。他看好那些在合规和可持续性方面做得更好的项目，但对比特币的长期地位持观望态度。</w:t>
      </w:r>
    </w:p>
    <w:p>
      <w:pPr>
        <w:spacing w:before="0" w:after="120" w:line="360" w:lineRule="auto"/>
        <w:ind w:firstLine="480"/>
      </w:pPr>
      <w:r>
        <w:rPr>
          <w:rFonts w:ascii="Times New Roman" w:hAnsi="Times New Roman" w:eastAsia="宋体"/>
          <w:b w:val="0"/>
          <w:i w:val="0"/>
          <w:sz w:val="24"/>
        </w:rPr>
        <w:t>这位《鲨鱼坦克》明星投资人还预测，未来两年内将有更多国家的退休基金和保险公司将比特币纳入投资组合，前提是监管障碍被清除。他的言论反映了部分传统投资者对加密资产的谨慎乐观。</w:t>
      </w:r>
    </w:p>
    <w:p>
      <w:pPr>
        <w:spacing w:before="0" w:after="40" w:line="360" w:lineRule="auto"/>
        <w:jc w:val="center"/>
      </w:pPr>
      <w:r>
        <w:rPr>
          <w:rFonts w:ascii="Times New Roman" w:hAnsi="Times New Roman" w:eastAsia="宋体"/>
          <w:b w:val="0"/>
          <w:i w:val="0"/>
          <w:sz w:val="21"/>
        </w:rPr>
        <w:t>（信息来源：thestreet.com；发布时间：2026-05-22T02:12:05+08:00）</w:t>
      </w:r>
    </w:p>
    <w:p>
      <w:pPr>
        <w:spacing w:before="0" w:after="20" w:line="360" w:lineRule="auto"/>
      </w:pPr>
      <w:r>
        <w:rPr>
          <w:rFonts w:ascii="Times New Roman" w:hAnsi="Times New Roman" w:eastAsia="宋体"/>
          <w:b w:val="0"/>
          <w:i w:val="0"/>
          <w:sz w:val="18"/>
        </w:rPr>
        <w:t>原文标题：Shark Tank’s Kevin O’ Leary says Bitcoin will go mainstream under one condition</w:t>
      </w:r>
    </w:p>
    <w:p>
      <w:pPr>
        <w:spacing w:before="0" w:after="200" w:line="360" w:lineRule="auto"/>
      </w:pPr>
      <w:r>
        <w:rPr>
          <w:rFonts w:ascii="Times New Roman" w:hAnsi="Times New Roman" w:eastAsia="宋体"/>
          <w:b w:val="0"/>
          <w:i w:val="0"/>
          <w:sz w:val="18"/>
        </w:rPr>
        <w:t>原文链接：https://news.google.com/rss/articles/CBMisgFBVV95cUxPQ29hdXljYmpUWENjaS1BZk9NTnU4NHZwS3ZBLV8xYlRtWjJPM094SWNrcTYyR2YxLXJCamdydnlLZWt4cGNxcXhzNTNLbHVoZGNYdjQ5Z296ZGhXWXNsSzJKNndnek1KZnZDRWRwWGswOUVzdTVJUmZVUk9NVDVacU9mbVhxZHY4MmVseEw5em5zYXhId00yanhMb1R6OVhSZmpKS0tzY3QtMkcwMjg4TTNR?oc=5</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i w:val="0"/>
          <w:sz w:val="32"/>
        </w:rPr>
        <w:t>【专题研究】</w:t>
      </w:r>
    </w:p>
    <w:p>
      <w:pPr>
        <w:spacing w:before="80" w:after="160" w:line="360" w:lineRule="auto"/>
      </w:pPr>
      <w:r>
        <w:rPr>
          <w:rFonts w:ascii="Times New Roman" w:hAnsi="Times New Roman" w:eastAsia="黑体"/>
          <w:b/>
          <w:i w:val="0"/>
          <w:sz w:val="28"/>
        </w:rPr>
        <w:t>Circle增发4.39亿枚USDC：链上需求回暖的信号？</w:t>
      </w:r>
    </w:p>
    <w:p>
      <w:pPr>
        <w:spacing w:before="0" w:after="120" w:line="360" w:lineRule="auto"/>
        <w:ind w:firstLine="480"/>
      </w:pPr>
      <w:r>
        <w:rPr>
          <w:rFonts w:ascii="Times New Roman" w:hAnsi="Times New Roman" w:eastAsia="宋体"/>
          <w:b w:val="0"/>
          <w:i w:val="0"/>
          <w:sz w:val="24"/>
        </w:rPr>
        <w:t>稳定币发行商Circle于近期一次性增发4.39亿枚USDC，引发市场关注。分析人士认为，此举可能是链上流动性需求和交易活动回升的指标。增发背后反映了DeFi协议中的资金流入以及支付场景的扩展。</w:t>
      </w:r>
    </w:p>
    <w:p>
      <w:pPr>
        <w:spacing w:before="0" w:after="120" w:line="360" w:lineRule="auto"/>
        <w:ind w:firstLine="480"/>
      </w:pPr>
      <w:r>
        <w:rPr>
          <w:rFonts w:ascii="Times New Roman" w:hAnsi="Times New Roman" w:eastAsia="宋体"/>
          <w:b w:val="0"/>
          <w:i w:val="0"/>
          <w:sz w:val="24"/>
        </w:rPr>
        <w:t>据MEXC报道，Circle在5月22日通过以太坊网络增发了4.39亿枚USDC。这是近一个月来规模最大的一次单次铸造行为。USDC的总供应量随之升至约450亿美元，仍为第二大稳定币。</w:t>
      </w:r>
    </w:p>
    <w:p>
      <w:pPr>
        <w:spacing w:before="0" w:after="120" w:line="360" w:lineRule="auto"/>
        <w:ind w:firstLine="480"/>
      </w:pPr>
      <w:r>
        <w:rPr>
          <w:rFonts w:ascii="Times New Roman" w:hAnsi="Times New Roman" w:eastAsia="宋体"/>
          <w:b w:val="0"/>
          <w:i w:val="0"/>
          <w:sz w:val="24"/>
        </w:rPr>
        <w:t>通常，稳定币的大规模增发意味着市场存在新的需求。数据显示，同期多个DeFi协议中的USDC存款量有所增加，尤其在Compound和Aave上的利用率上升。此外，中心化交易所的USDC储备也有所增加，暗示交易活动可能回暖。</w:t>
      </w:r>
    </w:p>
    <w:p>
      <w:pPr>
        <w:spacing w:before="0" w:after="120" w:line="360" w:lineRule="auto"/>
        <w:ind w:firstLine="480"/>
      </w:pPr>
      <w:r>
        <w:rPr>
          <w:rFonts w:ascii="Times New Roman" w:hAnsi="Times New Roman" w:eastAsia="宋体"/>
          <w:b w:val="0"/>
          <w:i w:val="0"/>
          <w:sz w:val="24"/>
        </w:rPr>
        <w:t>然而，并非所有增发都代表真实需求。部分增发可能仅为储备调整或跨链迁移。但本次增发恰逢比特币波动率创七个月新低和机构资金谨慎时期，链上指标显示活跃地址数和交易量确实出现温和增长。</w:t>
      </w:r>
    </w:p>
    <w:p>
      <w:pPr>
        <w:spacing w:before="0" w:after="120" w:line="360" w:lineRule="auto"/>
        <w:ind w:firstLine="480"/>
      </w:pPr>
      <w:r>
        <w:rPr>
          <w:rFonts w:ascii="Times New Roman" w:hAnsi="Times New Roman" w:eastAsia="宋体"/>
          <w:b w:val="0"/>
          <w:i w:val="0"/>
          <w:sz w:val="24"/>
        </w:rPr>
        <w:t>从宏观背景看，USDC供应量自2025年底以来一直呈小幅下降趋势，此次增发可能逆转这一态势。Circle的透明度报告显示，USDC储备中现金和短期国债的比例保持稳定，未发生显著变化。</w:t>
      </w:r>
    </w:p>
    <w:p>
      <w:pPr>
        <w:spacing w:before="0" w:after="120" w:line="360" w:lineRule="auto"/>
        <w:ind w:firstLine="480"/>
      </w:pPr>
      <w:r>
        <w:rPr>
          <w:rFonts w:ascii="Times New Roman" w:hAnsi="Times New Roman" w:eastAsia="宋体"/>
          <w:b w:val="0"/>
          <w:i w:val="0"/>
          <w:sz w:val="24"/>
        </w:rPr>
        <w:t>市场对此存在分歧。乐观派认为，这是加密市场触底回升的前兆，稳定币供应量的增加将助推后续上涨。谨慎派则指出，单次增发不足以确认趋势，需观察后续几周的铸造和销毁数据。</w:t>
      </w:r>
    </w:p>
    <w:p>
      <w:pPr>
        <w:spacing w:before="0" w:after="120" w:line="360" w:lineRule="auto"/>
        <w:ind w:firstLine="480"/>
      </w:pPr>
      <w:r>
        <w:rPr>
          <w:rFonts w:ascii="Times New Roman" w:hAnsi="Times New Roman" w:eastAsia="宋体"/>
          <w:b w:val="0"/>
          <w:i w:val="0"/>
          <w:sz w:val="24"/>
        </w:rPr>
        <w:t>值得注意的是，Circle近期还参与了欧洲37家银行支持的欧元稳定币项目，其在全球合规稳定币市场的布局正在加速。本次USDC增发可能也与Circle为机构客户提供流动性服务有关。</w:t>
      </w:r>
    </w:p>
    <w:p>
      <w:pPr>
        <w:spacing w:before="0" w:after="120" w:line="360" w:lineRule="auto"/>
        <w:ind w:firstLine="480"/>
      </w:pPr>
      <w:r>
        <w:rPr>
          <w:rFonts w:ascii="Times New Roman" w:hAnsi="Times New Roman" w:eastAsia="宋体"/>
          <w:b w:val="0"/>
          <w:i w:val="0"/>
          <w:sz w:val="24"/>
        </w:rPr>
        <w:t>总体而言，4.39亿枚USDC的增发是一个值得关注的信号，但其长期影响仍取决于实际链上活动的持续性。投资者应结合DeFi总锁仓量、交易所资金流向等数据进行综合判断。</w:t>
      </w:r>
    </w:p>
    <w:p>
      <w:pPr>
        <w:spacing w:before="0" w:after="40" w:line="360" w:lineRule="auto"/>
        <w:jc w:val="center"/>
      </w:pPr>
      <w:r>
        <w:rPr>
          <w:rFonts w:ascii="Times New Roman" w:hAnsi="Times New Roman" w:eastAsia="宋体"/>
          <w:b w:val="0"/>
          <w:i w:val="0"/>
          <w:sz w:val="21"/>
        </w:rPr>
        <w:t>（信息来源：MEXC；发布时间：2026-05-22T08:57:11+08:00）</w:t>
      </w:r>
    </w:p>
    <w:p>
      <w:pPr>
        <w:spacing w:before="0" w:after="20" w:line="360" w:lineRule="auto"/>
      </w:pPr>
      <w:r>
        <w:rPr>
          <w:rFonts w:ascii="Times New Roman" w:hAnsi="Times New Roman" w:eastAsia="宋体"/>
          <w:b w:val="0"/>
          <w:i w:val="0"/>
          <w:sz w:val="18"/>
        </w:rPr>
        <w:t>原文标题：Circle Mints 439 Million USDC: A Signal of Growing On-Chain Demand?</w:t>
      </w:r>
    </w:p>
    <w:p>
      <w:pPr>
        <w:spacing w:before="0" w:after="200" w:line="360" w:lineRule="auto"/>
      </w:pPr>
      <w:r>
        <w:rPr>
          <w:rFonts w:ascii="Times New Roman" w:hAnsi="Times New Roman" w:eastAsia="宋体"/>
          <w:b w:val="0"/>
          <w:i w:val="0"/>
          <w:sz w:val="18"/>
        </w:rPr>
        <w:t>原文链接：https://news.google.com/rss/articles/CBMiSEFVX3lxTE5MR29HMzcyUkJQdDBSQVA0Z2xXRlplR2t4eFlNVm0xT3B0Tm5GY3lhUGRqWjJiTkVKRjc2eDRHa2pZUllodDVybw?oc=5</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2026-05-19 18:04 至 2026-05-22 18:04（北京时间，最近3天）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