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加密超级政治行动委员会Fairshake斥资1200万美元助巴里·摩尔赢下阿拉巴马州参议员初选</w:t>
      </w:r>
    </w:p>
    <w:p>
      <w:pPr>
        <w:pStyle w:val="ListParagraph"/>
        <w:spacing w:before="0" w:after="0" w:line="360" w:lineRule="auto"/>
        <w:ind w:left="0" w:firstLine="0"/>
      </w:pPr>
      <w:r>
        <w:rPr>
          <w:rFonts w:ascii="Times New Roman" w:hAnsi="Times New Roman" w:cs="Times New Roman" w:eastAsia="楷体"/>
          <w:b w:val="0"/>
          <w:sz w:val="28"/>
        </w:rPr>
        <w:t>· 伊利诺伊州长签署含加密货币交易税的州预算</w:t>
      </w:r>
    </w:p>
    <w:p>
      <w:pPr>
        <w:pStyle w:val="ListParagraph"/>
        <w:spacing w:before="0" w:after="0" w:line="360" w:lineRule="auto"/>
        <w:ind w:left="0" w:firstLine="0"/>
      </w:pPr>
      <w:r>
        <w:rPr>
          <w:rFonts w:ascii="Times New Roman" w:hAnsi="Times New Roman" w:cs="Times New Roman" w:eastAsia="楷体"/>
          <w:b w:val="0"/>
          <w:sz w:val="28"/>
        </w:rPr>
        <w:t>· 路透社币安在欧盟的MiCA许可证申请预计将被拒绝</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以太坊Glamsterdam升级进入最终开发阶段预计下半年上线</w:t>
      </w:r>
    </w:p>
    <w:p>
      <w:pPr>
        <w:pStyle w:val="ListParagraph"/>
        <w:spacing w:before="0" w:after="0" w:line="360" w:lineRule="auto"/>
        <w:ind w:left="0" w:firstLine="0"/>
      </w:pPr>
      <w:r>
        <w:rPr>
          <w:rFonts w:ascii="Times New Roman" w:hAnsi="Times New Roman" w:cs="Times New Roman" w:eastAsia="楷体"/>
          <w:b w:val="0"/>
          <w:sz w:val="28"/>
        </w:rPr>
        <w:t>· Coinbase计划推出11支持的代币化美股</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贝莱德推出比特币收入基金为投资者提供现金流收益</w:t>
      </w:r>
    </w:p>
    <w:p>
      <w:pPr>
        <w:pStyle w:val="ListParagraph"/>
        <w:spacing w:before="0" w:after="0" w:line="360" w:lineRule="auto"/>
        <w:ind w:left="0" w:firstLine="0"/>
      </w:pPr>
      <w:r>
        <w:rPr>
          <w:rFonts w:ascii="Times New Roman" w:hAnsi="Times New Roman" w:cs="Times New Roman" w:eastAsia="楷体"/>
          <w:b w:val="0"/>
          <w:sz w:val="28"/>
        </w:rPr>
        <w:t>· Ripple投资非洲支付公司Flutterwave估值达32亿美元</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Strategy的MichaelSaylor比特币不需要以太坊风格的收益</w:t>
      </w:r>
    </w:p>
    <w:p>
      <w:pPr>
        <w:pStyle w:val="ListParagraph"/>
        <w:spacing w:before="0" w:after="0" w:line="360" w:lineRule="auto"/>
        <w:ind w:left="0" w:firstLine="0"/>
      </w:pPr>
      <w:r>
        <w:rPr>
          <w:rFonts w:ascii="Times New Roman" w:hAnsi="Times New Roman" w:cs="Times New Roman" w:eastAsia="楷体"/>
          <w:b w:val="0"/>
          <w:sz w:val="28"/>
        </w:rPr>
        <w:t>· VanEck称比特币矿商AI转型面临500亿美元现实检验</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加密超级政治行动委员会Fairshake斥资1200万美元助巴里·摩尔赢下阿拉巴马州参议员初选</w:t>
      </w:r>
    </w:p>
    <w:p>
      <w:pPr>
        <w:spacing w:before="0" w:after="0" w:line="240" w:lineRule="auto"/>
        <w:ind w:left="0" w:right="0" w:firstLine="0"/>
        <w:jc w:val="both"/>
      </w:pPr>
      <w:r>
        <w:rPr>
          <w:rFonts w:ascii="Times New Roman" w:hAnsi="Times New Roman" w:cs="Times New Roman" w:eastAsia="仿宋"/>
          <w:b w:val="0"/>
          <w:sz w:val="28"/>
        </w:rPr>
        <w:t>· 加密超级政治行动委员会Fairshake投入超过1200万美元支持巴里·摩尔，这是今年中期选举中单个候选人获得的最多加密资金。</w:t>
      </w:r>
    </w:p>
    <w:p>
      <w:pPr>
        <w:spacing w:before="0" w:after="0" w:line="240" w:lineRule="auto"/>
        <w:ind w:left="0" w:right="0" w:firstLine="0"/>
        <w:jc w:val="both"/>
      </w:pPr>
      <w:r>
        <w:rPr>
          <w:rFonts w:ascii="Times New Roman" w:hAnsi="Times New Roman" w:cs="Times New Roman" w:eastAsia="仿宋"/>
          <w:b w:val="0"/>
          <w:sz w:val="28"/>
        </w:rPr>
        <w:t>· 摩尔在周二阿拉巴马州共和党初选 runoff中击败前海豹突击队员贾里德·哈德森，赢得参议员候选人资格。</w:t>
      </w:r>
    </w:p>
    <w:p>
      <w:pPr>
        <w:spacing w:before="0" w:after="0" w:line="240" w:lineRule="auto"/>
        <w:ind w:left="0" w:right="0" w:firstLine="0"/>
        <w:jc w:val="both"/>
      </w:pPr>
      <w:r>
        <w:rPr>
          <w:rFonts w:ascii="Times New Roman" w:hAnsi="Times New Roman" w:cs="Times New Roman" w:eastAsia="仿宋"/>
          <w:b w:val="0"/>
          <w:sz w:val="28"/>
        </w:rPr>
        <w:t>· Fairshake发言人表示，手头有近1.5亿美元现金，将继续打造史上最大的支持加密的党团。</w:t>
      </w:r>
    </w:p>
    <w:p>
      <w:pPr>
        <w:pStyle w:val="正文内容"/>
        <w:spacing w:before="0" w:after="0" w:line="240" w:lineRule="auto"/>
        <w:ind w:left="0" w:right="0" w:firstLine="560"/>
        <w:jc w:val="both"/>
      </w:pPr>
      <w:r>
        <w:rPr>
          <w:rFonts w:ascii="Times New Roman" w:hAnsi="Times New Roman" w:cs="Times New Roman" w:eastAsia="仿宋"/>
          <w:b w:val="0"/>
          <w:sz w:val="28"/>
        </w:rPr>
        <w:t>加密超级政治行动委员会（crypto super PAC）Fairshake在今年的初选中再下一城：美国众议员巴里·摩尔（Barry Moore）赢得阿拉巴马州参议院席位共和党初选 runoff。Fairshake为摩尔投入超过1200万美元，这是该行业在今年国会选举中向单个候选人倾注的最大一笔资金。</w:t>
      </w:r>
    </w:p>
    <w:p>
      <w:pPr>
        <w:pStyle w:val="正文内容"/>
        <w:spacing w:before="0" w:after="0" w:line="240" w:lineRule="auto"/>
        <w:ind w:left="0" w:right="0" w:firstLine="560"/>
        <w:jc w:val="both"/>
      </w:pPr>
      <w:r>
        <w:rPr>
          <w:rFonts w:ascii="Times New Roman" w:hAnsi="Times New Roman" w:cs="Times New Roman" w:eastAsia="仿宋"/>
          <w:b w:val="0"/>
          <w:sz w:val="28"/>
        </w:rPr>
        <w:t>摩尔在周二的 runoff 中击败了前海豹突击队成员贾里德·哈德森（Jared Hudson）。由于阿拉巴马州拥有深厚的共和党选民基础，摩尔预计将在11月大选中胜出。作为众议员，摩尔对每一项重要的加密立法都投了赞成票。</w:t>
      </w:r>
    </w:p>
    <w:p>
      <w:pPr>
        <w:pStyle w:val="正文内容"/>
        <w:spacing w:before="0" w:after="0" w:line="240" w:lineRule="auto"/>
        <w:ind w:left="0" w:right="0" w:firstLine="560"/>
        <w:jc w:val="both"/>
      </w:pPr>
      <w:r>
        <w:rPr>
          <w:rFonts w:ascii="Times New Roman" w:hAnsi="Times New Roman" w:cs="Times New Roman" w:eastAsia="仿宋"/>
          <w:b w:val="0"/>
          <w:sz w:val="28"/>
        </w:rPr>
        <w:t>Fairshake发言人杰夫·维特（Geoff Vetter）表示：“本周期最大的一笔支出为参议院带来了另一位支持创新的冠军，我们手头有近1.5亿美元现金，准备继续打造史上最大的支持加密的党团。”</w:t>
      </w:r>
    </w:p>
    <w:p>
      <w:pPr>
        <w:pStyle w:val="正文内容"/>
        <w:spacing w:before="0" w:after="0" w:line="240" w:lineRule="auto"/>
        <w:ind w:left="0" w:right="0" w:firstLine="560"/>
        <w:jc w:val="both"/>
      </w:pPr>
      <w:r>
        <w:rPr>
          <w:rFonts w:ascii="Times New Roman" w:hAnsi="Times New Roman" w:cs="Times New Roman" w:eastAsia="仿宋"/>
          <w:b w:val="0"/>
          <w:sz w:val="28"/>
        </w:rPr>
        <w:t>根据向联邦选举委员会（Federal Election Commission，FEC）提交的最新文件，截至4月底，Fairshake及相关政治行动委员会手头约有1.64亿美元，但支出速度很快。摩尔获得近56%的选票，这一结果可能抵消该行业在伊利诺伊州的挫折——Fairshake花费超过1000万美元试图击败副州长朱莉安娜·斯特拉顿（Juliana Stratton），但斯特拉顿在民主党初选中获胜。</w:t>
      </w:r>
    </w:p>
    <w:p>
      <w:pPr>
        <w:pStyle w:val="正文内容"/>
        <w:spacing w:before="0" w:after="0" w:line="240" w:lineRule="auto"/>
        <w:ind w:left="0" w:right="0" w:firstLine="560"/>
        <w:jc w:val="both"/>
      </w:pPr>
      <w:r>
        <w:rPr>
          <w:rFonts w:ascii="Times New Roman" w:hAnsi="Times New Roman" w:cs="Times New Roman" w:eastAsia="仿宋"/>
          <w:b w:val="0"/>
          <w:sz w:val="28"/>
        </w:rPr>
        <w:t>Fairshake的大部分成果都是成功的，此次胜利是又一例。摩尔还得到了与加密相关的Fellowship PAC的支持。他希望取代共和党参议员汤米·图伯维尔（Tommy Tuberville），图伯维尔正在竞选州长。</w:t>
      </w:r>
    </w:p>
    <w:p>
      <w:pPr>
        <w:pStyle w:val="正文内容"/>
        <w:spacing w:before="0" w:after="0" w:line="240" w:lineRule="auto"/>
        <w:ind w:left="0" w:right="0" w:firstLine="560"/>
        <w:jc w:val="both"/>
      </w:pPr>
      <w:r>
        <w:rPr>
          <w:rFonts w:ascii="Times New Roman" w:hAnsi="Times New Roman" w:cs="Times New Roman" w:eastAsia="仿宋"/>
          <w:b w:val="0"/>
          <w:sz w:val="28"/>
        </w:rPr>
        <w:t>Fairshake还在本周俄克拉荷马州共和党初选中投入73.5万美元支持众议员凯文·赫恩（Kevin Hern），赫恩赢得了该州参议员提名。与摩尔一样，赫恩也获得了前总统特朗普（Trump）的背书。</w:t>
      </w:r>
    </w:p>
    <w:p>
      <w:pPr>
        <w:pStyle w:val="正文内容"/>
        <w:spacing w:before="0" w:after="0" w:line="240" w:lineRule="auto"/>
        <w:ind w:left="0" w:right="0" w:firstLine="560"/>
        <w:jc w:val="both"/>
      </w:pPr>
      <w:r>
        <w:rPr>
          <w:rFonts w:ascii="Times New Roman" w:hAnsi="Times New Roman" w:cs="Times New Roman" w:eastAsia="仿宋"/>
          <w:b w:val="0"/>
          <w:sz w:val="28"/>
        </w:rPr>
        <w:t>Fairshake的主要资助方来自加密世界的三个贡献者：Coinbase、a16z Crypto和Ripple。该政治行动委员会在上一个国会选举周期声名鹊起，当时它支持了超过50名支持加密的候选人（来自两党），这些候选人已参与本届国会，其数量超过了众多行业政治行动委员会甚至一些大型政党组织。</w:t>
      </w:r>
    </w:p>
    <w:p>
      <w:pPr>
        <w:pStyle w:val="正文内容"/>
        <w:spacing w:before="0" w:after="0" w:line="240" w:lineRule="auto"/>
        <w:ind w:left="0" w:right="0" w:firstLine="560"/>
        <w:jc w:val="both"/>
      </w:pPr>
      <w:r>
        <w:rPr>
          <w:rFonts w:ascii="Times New Roman" w:hAnsi="Times New Roman" w:cs="Times New Roman" w:eastAsia="仿宋"/>
          <w:b w:val="0"/>
          <w:sz w:val="28"/>
        </w:rPr>
        <w:t>该行业的竞选机构以1.93亿美元开始今年的选举，其资金通常用于广告宣传，突出候选人胜选的政治方面，而非宣扬加密立场。这些“独立支出”广告与候选人竞选活动无关。</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原文标题：Crypto PAC's $12 million Senate candidate， Barry Moore， wins Alabama GOP primary</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原文链接：https://www.coindesk.com/policy/2026/06/17/crypto-pac-s-usd12-million-senate-candidate-barry-moore-wins-alabama-gop-primary</w:t>
      </w:r>
    </w:p>
    <w:p/>
    <w:p>
      <w:pPr>
        <w:pStyle w:val="文章一级标题"/>
        <w:spacing w:before="0" w:after="0" w:line="240" w:lineRule="auto"/>
        <w:ind w:left="0" w:right="0" w:firstLine="0"/>
        <w:jc w:val="center"/>
      </w:pPr>
      <w:r>
        <w:rPr>
          <w:rFonts w:ascii="Times New Roman" w:hAnsi="Times New Roman" w:cs="Times New Roman" w:eastAsia="黑体"/>
          <w:b w:val="0"/>
          <w:sz w:val="30"/>
        </w:rPr>
        <w:t>伊利诺伊州长签署含加密货币交易税的州预算</w:t>
      </w:r>
    </w:p>
    <w:p>
      <w:pPr>
        <w:spacing w:before="0" w:after="0" w:line="240" w:lineRule="auto"/>
        <w:ind w:left="0" w:right="0" w:firstLine="0"/>
        <w:jc w:val="both"/>
      </w:pPr>
      <w:r>
        <w:rPr>
          <w:rFonts w:ascii="Times New Roman" w:hAnsi="Times New Roman" w:cs="Times New Roman" w:eastAsia="仿宋"/>
          <w:b w:val="0"/>
          <w:sz w:val="28"/>
        </w:rPr>
        <w:t>· 伊利诺伊州长JB Pritzker签署了包含0.2%数字资产特权税的FY27州预算。</w:t>
      </w:r>
    </w:p>
    <w:p>
      <w:pPr>
        <w:spacing w:before="0" w:after="0" w:line="240" w:lineRule="auto"/>
        <w:ind w:left="0" w:right="0" w:firstLine="0"/>
        <w:jc w:val="both"/>
      </w:pPr>
      <w:r>
        <w:rPr>
          <w:rFonts w:ascii="Times New Roman" w:hAnsi="Times New Roman" w:cs="Times New Roman" w:eastAsia="仿宋"/>
          <w:b w:val="0"/>
          <w:sz w:val="28"/>
        </w:rPr>
        <w:t>· 加密行业组织Crypto Council for Innovation敦促对参议院第3019号法案第3条进行“单项否决”。</w:t>
      </w:r>
    </w:p>
    <w:p>
      <w:pPr>
        <w:spacing w:before="0" w:after="0" w:line="240" w:lineRule="auto"/>
        <w:ind w:left="0" w:right="0" w:firstLine="0"/>
        <w:jc w:val="both"/>
      </w:pPr>
      <w:r>
        <w:rPr>
          <w:rFonts w:ascii="Times New Roman" w:hAnsi="Times New Roman" w:cs="Times New Roman" w:eastAsia="仿宋"/>
          <w:b w:val="0"/>
          <w:sz w:val="28"/>
        </w:rPr>
        <w:t>· a16z总法律顾问Miles Jennings称这是美国“最反加密货币的法律之一”，并指出没有可比的州金融交易税适用于股票、债券或衍生品。</w:t>
      </w:r>
    </w:p>
    <w:p>
      <w:pPr>
        <w:pStyle w:val="正文内容"/>
        <w:spacing w:before="0" w:after="0" w:line="240" w:lineRule="auto"/>
        <w:ind w:left="0" w:right="0" w:firstLine="560"/>
        <w:jc w:val="both"/>
      </w:pPr>
      <w:r>
        <w:rPr>
          <w:rFonts w:ascii="Times New Roman" w:hAnsi="Times New Roman" w:cs="Times New Roman" w:eastAsia="仿宋"/>
          <w:b w:val="0"/>
          <w:sz w:val="28"/>
        </w:rPr>
        <w:t>伊利诺伊州长JB Pritzker于周二签署了一项包含0.2%“特权税”的州预算法案，该税针对涉及该州居民的加密货币交易。这项总额559亿美元的预算案尽管遭到加密行业团体的反对，仍获得通过。该交易税适用于所有在已注册平台上进行的、被广义定义为“数字资产业务活动”的数字资产交易。</w:t>
      </w:r>
    </w:p>
    <w:p>
      <w:pPr>
        <w:pStyle w:val="正文内容"/>
        <w:spacing w:before="0" w:after="0" w:line="240" w:lineRule="auto"/>
        <w:ind w:left="0" w:right="0" w:firstLine="560"/>
        <w:jc w:val="both"/>
      </w:pPr>
      <w:r>
        <w:rPr>
          <w:rFonts w:ascii="Times New Roman" w:hAnsi="Times New Roman" w:cs="Times New Roman" w:eastAsia="仿宋"/>
          <w:b w:val="0"/>
          <w:sz w:val="28"/>
        </w:rPr>
        <w:t>该措施将于2027年1月1日生效，并将使伊利诺伊州成为唯一一个对数字资产用户征税而不考虑其收入、收益或利润的州——这与传统税收结构不同。在该州运营的数字资产经纪商还必须注册并遵守新的报告义务。</w:t>
      </w:r>
    </w:p>
    <w:p>
      <w:pPr>
        <w:pStyle w:val="正文内容"/>
        <w:spacing w:before="0" w:after="0" w:line="240" w:lineRule="auto"/>
        <w:ind w:left="0" w:right="0" w:firstLine="560"/>
        <w:jc w:val="both"/>
      </w:pPr>
      <w:r>
        <w:rPr>
          <w:rFonts w:ascii="Times New Roman" w:hAnsi="Times New Roman" w:cs="Times New Roman" w:eastAsia="仿宋"/>
          <w:b w:val="0"/>
          <w:sz w:val="28"/>
        </w:rPr>
        <w:t>Crypto Council for Innovation（CCI）在周二致信州长，敦促对参议院第3019号法案第3条进行“单项否决”，称“这将创造一种前所未有的税收制度，不成比例地加重伊利诺伊居民仅因使用数字资产而承担的负担，并将把创新和建设者赶出该州。”伊利诺伊州拥有多家知名加密公司，包括Zero Hash、Jump Crypto、Bitnomial和Apex Crypto。</w:t>
      </w:r>
    </w:p>
    <w:p>
      <w:pPr>
        <w:pStyle w:val="正文内容"/>
        <w:spacing w:before="0" w:after="0" w:line="240" w:lineRule="auto"/>
        <w:ind w:left="0" w:right="0" w:firstLine="560"/>
        <w:jc w:val="both"/>
      </w:pPr>
      <w:r>
        <w:rPr>
          <w:rFonts w:ascii="Times New Roman" w:hAnsi="Times New Roman" w:cs="Times New Roman" w:eastAsia="仿宋"/>
          <w:b w:val="0"/>
          <w:sz w:val="28"/>
        </w:rPr>
        <w:t>美国税务公司BDO USA表示，这项范围广泛的数字资产税也可能影响州外公司——如果它们在伊利诺伊州有足够的客户活动的话。CCI认为，该税仅基于处理交易的技术手段就单独针对数字资产。“对基于区块链发生的交易征税，类似于因为信件是通过电子邮件而非邮政寄送而对其征税。”</w:t>
      </w:r>
    </w:p>
    <w:p>
      <w:pPr>
        <w:pStyle w:val="正文内容"/>
        <w:spacing w:before="0" w:after="0" w:line="240" w:lineRule="auto"/>
        <w:ind w:left="0" w:right="0" w:firstLine="560"/>
        <w:jc w:val="both"/>
      </w:pPr>
      <w:r>
        <w:rPr>
          <w:rFonts w:ascii="Times New Roman" w:hAnsi="Times New Roman" w:cs="Times New Roman" w:eastAsia="仿宋"/>
          <w:b w:val="0"/>
          <w:sz w:val="28"/>
        </w:rPr>
        <w:t>CCI还指出时机不佳，因为该行业已经在适应联邦《数字资产和消费者保护法案》（DACPA），而国会也正在单独制定加密资产的国家税收框架。数字商会（The Digital Chamber）在6月3日也发出了类似信件反对该法案，称“这项税收将在金融服务转向区块链的关键时刻阻碍数字资产的使用，将伊利诺伊居民排除在进步和创新之外，并将现有的伊利诺伊区块链和加密公司赶出该州。”</w:t>
      </w:r>
    </w:p>
    <w:p>
      <w:pPr>
        <w:pStyle w:val="正文内容"/>
        <w:spacing w:before="0" w:after="0" w:line="240" w:lineRule="auto"/>
        <w:ind w:left="0" w:right="0" w:firstLine="560"/>
        <w:jc w:val="both"/>
      </w:pPr>
      <w:r>
        <w:rPr>
          <w:rFonts w:ascii="Times New Roman" w:hAnsi="Times New Roman" w:cs="Times New Roman" w:eastAsia="仿宋"/>
          <w:b w:val="0"/>
          <w:sz w:val="28"/>
        </w:rPr>
        <w:t>a16z Crypto政策主管兼总法律顾问Miles Jennings周三在X平台上表示，这是美国“最反加密货币的法律之一”。“全美范围内，实际上没有可比的州金融交易税适用于股票、债券或衍生品，”他说，“这意味着加密货币被单独挑出，违反了多项联邦法律。伊利诺伊州没有拥抱区块链为普通民众带来的创新和成本效率，反而准备惩罚那些想要使用加密货币的企业家和公民。”</w:t>
      </w:r>
    </w:p>
    <w:p>
      <w:pPr>
        <w:pStyle w:val="正文内容"/>
        <w:spacing w:before="0" w:after="0" w:line="240" w:lineRule="auto"/>
        <w:ind w:left="0" w:right="0" w:firstLine="560"/>
        <w:jc w:val="both"/>
      </w:pPr>
      <w:r>
        <w:rPr>
          <w:rFonts w:ascii="Times New Roman" w:hAnsi="Times New Roman" w:cs="Times New Roman" w:eastAsia="仿宋"/>
          <w:b w:val="0"/>
          <w:sz w:val="28"/>
        </w:rPr>
        <w:t>这项加密货币税与注册和合规要求捆绑在一起，是旨在填补预算缺口的更大一揽子计划的一部分。预计该法案将为Pritzker的2027财年559亿美元预算筹集超过8亿美元的新税收收入。</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（信息来源：Cointelegraph）</w:t>
      </w:r>
    </w:p>
    <w:p>
      <w:pPr>
        <w:pStyle w:val="原文信息"/>
        <w:spacing w:before="0" w:after="0" w:line="240" w:lineRule="auto"/>
        <w:ind w:left="0" w:right="0" w:firstLine="0"/>
        <w:jc w:val="left"/>
      </w:pPr>
      <w:r>
        <w:rPr>
          <w:rFonts w:ascii="Times New Roman" w:hAnsi="Times New Roman" w:cs="Times New Roman" w:eastAsia="仿宋"/>
          <w:b w:val="0"/>
          <w:sz w:val="18"/>
        </w:rPr>
        <w:t>原文标题：Illinois governor approves crypto transaction tax despite industry uproar</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原文链接：https://cointelegraph.com/news/crypto-advocates-execs-push-back-on-illinois-transaction-tax</w:t>
      </w:r>
    </w:p>
    <w:p/>
    <w:p>
      <w:pPr>
        <w:pStyle w:val="文章一级标题"/>
        <w:spacing w:before="0" w:after="0" w:line="240" w:lineRule="auto"/>
        <w:ind w:left="0" w:right="0" w:firstLine="0"/>
        <w:jc w:val="center"/>
      </w:pPr>
      <w:r>
        <w:rPr>
          <w:rFonts w:ascii="Times New Roman" w:hAnsi="Times New Roman" w:cs="Times New Roman" w:eastAsia="黑体"/>
          <w:b w:val="0"/>
          <w:sz w:val="30"/>
        </w:rPr>
        <w:t>路透社币安在欧盟的MiCA许可证申请预计将被拒绝</w:t>
      </w:r>
    </w:p>
    <w:p>
      <w:pPr>
        <w:spacing w:before="0" w:after="0" w:line="240" w:lineRule="auto"/>
        <w:ind w:left="0" w:right="0" w:firstLine="0"/>
        <w:jc w:val="both"/>
      </w:pPr>
      <w:r>
        <w:rPr>
          <w:rFonts w:ascii="Times New Roman" w:hAnsi="Times New Roman" w:cs="Times New Roman" w:eastAsia="仿宋"/>
          <w:b w:val="0"/>
          <w:sz w:val="28"/>
        </w:rPr>
        <w:t>· 路透社援引知情人士称，希腊市场监管机构预计将拒绝币安的MiCA许可证申请，6月30日为最后期限。</w:t>
      </w:r>
    </w:p>
    <w:p>
      <w:pPr>
        <w:spacing w:before="0" w:after="0" w:line="240" w:lineRule="auto"/>
        <w:ind w:left="0" w:right="0" w:firstLine="0"/>
        <w:jc w:val="both"/>
      </w:pPr>
      <w:r>
        <w:rPr>
          <w:rFonts w:ascii="Times New Roman" w:hAnsi="Times New Roman" w:cs="Times New Roman" w:eastAsia="仿宋"/>
          <w:b w:val="0"/>
          <w:sz w:val="28"/>
        </w:rPr>
        <w:t>· 币安表示，其申请已由希腊资本市场委员会（HCMC）完成审查，并被认为符合MiCA要求。</w:t>
      </w:r>
    </w:p>
    <w:p>
      <w:pPr>
        <w:spacing w:before="0" w:after="0" w:line="240" w:lineRule="auto"/>
        <w:ind w:left="0" w:right="0" w:firstLine="0"/>
        <w:jc w:val="both"/>
      </w:pPr>
      <w:r>
        <w:rPr>
          <w:rFonts w:ascii="Times New Roman" w:hAnsi="Times New Roman" w:cs="Times New Roman" w:eastAsia="仿宋"/>
          <w:b w:val="0"/>
          <w:sz w:val="28"/>
        </w:rPr>
        <w:t>· 如果未获批准，币安将需要停止在欧盟的运营。</w:t>
      </w:r>
    </w:p>
    <w:p>
      <w:pPr>
        <w:pStyle w:val="正文内容"/>
        <w:spacing w:before="0" w:after="0" w:line="240" w:lineRule="auto"/>
        <w:ind w:left="0" w:right="0" w:firstLine="560"/>
        <w:jc w:val="both"/>
      </w:pPr>
      <w:r>
        <w:rPr>
          <w:rFonts w:ascii="Times New Roman" w:hAnsi="Times New Roman" w:cs="Times New Roman" w:eastAsia="仿宋"/>
          <w:b w:val="0"/>
          <w:sz w:val="28"/>
        </w:rPr>
        <w:t>据路透社报道，两位知情人士透露，全球最大加密货币交易所币安（Binance）在欧盟的加密资产市场（MiCA）许可证申请预计将被希腊市场监管机构拒绝，6月30日的许可证截止日期临近。这意味着币安可能失去向欧盟居民提供服务的能力。</w:t>
      </w:r>
    </w:p>
    <w:p>
      <w:pPr>
        <w:pStyle w:val="正文内容"/>
        <w:spacing w:before="0" w:after="0" w:line="240" w:lineRule="auto"/>
        <w:ind w:left="0" w:right="0" w:firstLine="560"/>
        <w:jc w:val="both"/>
      </w:pPr>
      <w:r>
        <w:rPr>
          <w:rFonts w:ascii="Times New Roman" w:hAnsi="Times New Roman" w:cs="Times New Roman" w:eastAsia="仿宋"/>
          <w:b w:val="0"/>
          <w:sz w:val="28"/>
        </w:rPr>
        <w:t>币安的一位发言人回应称：“我们一直在寻求获得MiCA许可证，并在过去18个月中与监管机构建设性地合作，包括通过向希腊资本市场委员会（HCMC）提交全面的申请流程。”该发言人补充道：“我们的理解是，HCMC已完成对申请的审查，并认为其符合MiCA要求。”</w:t>
      </w:r>
    </w:p>
    <w:p>
      <w:pPr>
        <w:pStyle w:val="正文内容"/>
        <w:spacing w:before="0" w:after="0" w:line="240" w:lineRule="auto"/>
        <w:ind w:left="0" w:right="0" w:firstLine="560"/>
        <w:jc w:val="both"/>
      </w:pPr>
      <w:r>
        <w:rPr>
          <w:rFonts w:ascii="Times New Roman" w:hAnsi="Times New Roman" w:cs="Times New Roman" w:eastAsia="仿宋"/>
          <w:b w:val="0"/>
          <w:sz w:val="28"/>
        </w:rPr>
        <w:t>币安于去年12月在希腊设立了一家控股公司，并于今年1月通过HCMC正式提交了MiCA许可证申请。如果获批，这家按日交易量计全球最大的加密货币交易所将能够将其服务“护照化”至法国、西班牙、德国等其他欧盟国家。否则，它将需要停止在整个欧盟的运营。</w:t>
      </w:r>
    </w:p>
    <w:p>
      <w:pPr>
        <w:pStyle w:val="正文内容"/>
        <w:spacing w:before="0" w:after="0" w:line="240" w:lineRule="auto"/>
        <w:ind w:left="0" w:right="0" w:firstLine="560"/>
        <w:jc w:val="both"/>
      </w:pPr>
      <w:r>
        <w:rPr>
          <w:rFonts w:ascii="Times New Roman" w:hAnsi="Times New Roman" w:cs="Times New Roman" w:eastAsia="仿宋"/>
          <w:b w:val="0"/>
          <w:sz w:val="28"/>
        </w:rPr>
        <w:t>币安在X平台上发文称：“我们的首要任务是减少中断并让用户知情。随着更多信息的出现，我们将直接提供进一步的细节，包括后续步骤和可用选择。”在一篇博客文章中，币安表示欧洲仍是其“长期计划的核心”，并“仍然愿意并准备好在真正统一的MiCA体制下运营”。</w:t>
      </w:r>
    </w:p>
    <w:p>
      <w:pPr>
        <w:pStyle w:val="正文内容"/>
        <w:spacing w:before="0" w:after="0" w:line="240" w:lineRule="auto"/>
        <w:ind w:left="0" w:right="0" w:firstLine="560"/>
        <w:jc w:val="both"/>
      </w:pPr>
      <w:r>
        <w:rPr>
          <w:rFonts w:ascii="Times New Roman" w:hAnsi="Times New Roman" w:cs="Times New Roman" w:eastAsia="仿宋"/>
          <w:b w:val="0"/>
          <w:sz w:val="28"/>
        </w:rPr>
        <w:t>今年1月，法国监管机构指出，该地区约有90家加密公司在未满足MiCA合规要求的情况下运营，不过当时约30%的公司已申请了许可证。去年，法国监管机构威胁要禁止MiCA许可证所允许的在欧盟各国之间转移合规状态的“护照化”机制，试图将监管权上移至欧洲证券和市场管理局（ESMA）。</w:t>
      </w:r>
    </w:p>
    <w:p>
      <w:pPr>
        <w:pStyle w:val="正文内容"/>
        <w:spacing w:before="0" w:after="0" w:line="240" w:lineRule="auto"/>
        <w:ind w:left="0" w:right="0" w:firstLine="560"/>
        <w:jc w:val="both"/>
      </w:pPr>
      <w:r>
        <w:rPr>
          <w:rFonts w:ascii="Times New Roman" w:hAnsi="Times New Roman" w:cs="Times New Roman" w:eastAsia="仿宋"/>
          <w:b w:val="0"/>
          <w:sz w:val="28"/>
        </w:rPr>
        <w:t>币安的一位发言人告诉Decrypt，其理解是其MiCA申请也已在ESMA层面进行了审查。</w:t>
      </w:r>
    </w:p>
    <w:p>
      <w:pPr>
        <w:pStyle w:val="信息来源"/>
        <w:spacing w:before="50" w:after="100" w:line="240" w:lineRule="auto"/>
        <w:ind w:left="0" w:right="0" w:firstLine="0"/>
        <w:jc w:val="right"/>
      </w:pPr>
      <w:r>
        <w:rPr>
          <w:rFonts w:ascii="Times New Roman" w:hAnsi="Times New Roman" w:cs="Times New Roman" w:eastAsia="仿宋"/>
          <w:b w:val="0"/>
          <w:sz w:val="21"/>
        </w:rPr>
        <w:t>（信息来源：Decrypt）</w:t>
      </w:r>
    </w:p>
    <w:p>
      <w:pPr>
        <w:pStyle w:val="原文信息"/>
        <w:spacing w:before="0" w:after="0" w:line="240" w:lineRule="auto"/>
        <w:ind w:left="0" w:right="0" w:firstLine="0"/>
        <w:jc w:val="left"/>
      </w:pPr>
      <w:r>
        <w:rPr>
          <w:rFonts w:ascii="Times New Roman" w:hAnsi="Times New Roman" w:cs="Times New Roman" w:eastAsia="仿宋"/>
          <w:b w:val="0"/>
          <w:sz w:val="18"/>
        </w:rPr>
        <w:t>原文标题：Crypto Exchange Binance Will Be Rejected for EU Regulatory License： Reuters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原文链接：https://decrypt.co/371343/binance-rejected-eu-regulatory-license-reuters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以太坊Glamsterdam升级进入最终开发阶段预计下半年上线</w:t>
      </w:r>
    </w:p>
    <w:p>
      <w:pPr>
        <w:spacing w:before="0" w:after="0" w:line="240" w:lineRule="auto"/>
        <w:ind w:left="0" w:right="0" w:firstLine="0"/>
        <w:jc w:val="both"/>
      </w:pPr>
      <w:r>
        <w:rPr>
          <w:rFonts w:ascii="Times New Roman" w:hAnsi="Times New Roman" w:cs="Times New Roman" w:eastAsia="仿宋"/>
          <w:b w:val="0"/>
          <w:sz w:val="28"/>
        </w:rPr>
        <w:t>· 以太坊Glamsterdam升级已进入最终开发阶段，开发者正在运行包含全部以太坊改进提案（EIP）的开发者网络（devnet）。</w:t>
      </w:r>
    </w:p>
    <w:p>
      <w:pPr>
        <w:spacing w:before="0" w:after="0" w:line="240" w:lineRule="auto"/>
        <w:ind w:left="0" w:right="0" w:firstLine="0"/>
        <w:jc w:val="both"/>
      </w:pPr>
      <w:r>
        <w:rPr>
          <w:rFonts w:ascii="Times New Roman" w:hAnsi="Times New Roman" w:cs="Times New Roman" w:eastAsia="仿宋"/>
          <w:b w:val="0"/>
          <w:sz w:val="28"/>
        </w:rPr>
        <w:t>· 该升级预计于2026年下半年激活，被以太坊基金会核心开发人员Parithosh Jayanthi描述为自2022年“合并”以来最大的分叉升级。</w:t>
      </w:r>
    </w:p>
    <w:p>
      <w:pPr>
        <w:spacing w:before="0" w:after="0" w:line="240" w:lineRule="auto"/>
        <w:ind w:left="0" w:right="0" w:firstLine="0"/>
        <w:jc w:val="both"/>
      </w:pPr>
      <w:r>
        <w:rPr>
          <w:rFonts w:ascii="Times New Roman" w:hAnsi="Times New Roman" w:cs="Times New Roman" w:eastAsia="仿宋"/>
          <w:b w:val="0"/>
          <w:sz w:val="28"/>
        </w:rPr>
        <w:t>· 核心变更包括内嵌的提议者-构建者分离（ePBS）和区块级访问列表，以及一系列旨在改变以太坊使用经济性的gas重新定价。</w:t>
      </w:r>
    </w:p>
    <w:p>
      <w:pPr>
        <w:pStyle w:val="正文内容"/>
        <w:spacing w:before="0" w:after="0" w:line="240" w:lineRule="auto"/>
        <w:ind w:left="0" w:right="0" w:firstLine="560"/>
        <w:jc w:val="both"/>
      </w:pPr>
      <w:r>
        <w:rPr>
          <w:rFonts w:ascii="Times New Roman" w:hAnsi="Times New Roman" w:cs="Times New Roman" w:eastAsia="仿宋"/>
          <w:b w:val="0"/>
          <w:sz w:val="28"/>
        </w:rPr>
        <w:t>以太坊开发者正在进入Glamsterdam升级的最后阶段，该升级是网络的下一次重大升级。目前，团队已在一个封闭环境中开始测试包含全部计划协议变更的分叉版本。以太坊基金会（Ethereum Foundation）核心开发者兼devops工程师Parithosh Jayanthi表示：“我们正在运行包含所有以太坊改进提案（EIP）的开发者网络。这是我们在代码硬化并部署到测试网之前的最后一个阶段。”</w:t>
      </w:r>
    </w:p>
    <w:p>
      <w:pPr>
        <w:pStyle w:val="正文内容"/>
        <w:spacing w:before="0" w:after="0" w:line="240" w:lineRule="auto"/>
        <w:ind w:left="0" w:right="0" w:firstLine="560"/>
        <w:jc w:val="both"/>
      </w:pPr>
      <w:r>
        <w:rPr>
          <w:rFonts w:ascii="Times New Roman" w:hAnsi="Times New Roman" w:cs="Times New Roman" w:eastAsia="仿宋"/>
          <w:b w:val="0"/>
          <w:sz w:val="28"/>
        </w:rPr>
        <w:t>虽然尚未确定具体的激活日期，但Glamsterdam目前预计在2026年下半年上线。Jayanthi将Glamsterdam描述为“自合并以来我们经历的最大分叉”，并补充说，它将“改变以太坊的许多假设，并为未来的更大扩展奠定基础”。</w:t>
      </w:r>
    </w:p>
    <w:p>
      <w:pPr>
        <w:pStyle w:val="正文内容"/>
        <w:spacing w:before="0" w:after="0" w:line="240" w:lineRule="auto"/>
        <w:ind w:left="0" w:right="0" w:firstLine="560"/>
        <w:jc w:val="both"/>
      </w:pPr>
      <w:r>
        <w:rPr>
          <w:rFonts w:ascii="Times New Roman" w:hAnsi="Times New Roman" w:cs="Times New Roman" w:eastAsia="仿宋"/>
          <w:b w:val="0"/>
          <w:sz w:val="28"/>
        </w:rPr>
        <w:t>Glamsterdam的头条功能包括内嵌的提议者-构建者分离（enshrined Proposer-Builder Separation，ePBS），正式编号为EIP-7732，以及区块级访问列表（Block-level Access Lists，EIP-7928）。ePBS将在以太坊核心协议中实现构建交易区块的实体与提议区块的实体之间的分离。目前，这一过程主要依赖链下进行，存在额外的信任假设和中心化问题。通过将该机制移至链上，开发者希望减少与最大可提取价值（Maximal Extractable Value，MEV）相关的操纵机会。</w:t>
      </w:r>
    </w:p>
    <w:p>
      <w:pPr>
        <w:pStyle w:val="正文内容"/>
        <w:spacing w:before="0" w:after="0" w:line="240" w:lineRule="auto"/>
        <w:ind w:left="0" w:right="0" w:firstLine="560"/>
        <w:jc w:val="both"/>
      </w:pPr>
      <w:r>
        <w:rPr>
          <w:rFonts w:ascii="Times New Roman" w:hAnsi="Times New Roman" w:cs="Times New Roman" w:eastAsia="仿宋"/>
          <w:b w:val="0"/>
          <w:sz w:val="28"/>
        </w:rPr>
        <w:t>另一项重要提案区块级访问列表，允许区块预先声明其打算访问的账户和智能合约数据。这一变化将使以太坊客户端能够更高效地预加载信息，从而帮助区块执行更快、更可预测且更易于优化。</w:t>
      </w:r>
    </w:p>
    <w:p>
      <w:pPr>
        <w:pStyle w:val="正文内容"/>
        <w:spacing w:before="0" w:after="0" w:line="240" w:lineRule="auto"/>
        <w:ind w:left="0" w:right="0" w:firstLine="560"/>
        <w:jc w:val="both"/>
      </w:pPr>
      <w:r>
        <w:rPr>
          <w:rFonts w:ascii="Times New Roman" w:hAnsi="Times New Roman" w:cs="Times New Roman" w:eastAsia="仿宋"/>
          <w:b w:val="0"/>
          <w:sz w:val="28"/>
        </w:rPr>
        <w:t>除了上述头条提案，Glamsterdam还包括一系列全面的gas重新定价，可能显著改变使用以太坊的经济性。Jayanthi表示：“这将极大改变以太坊上的操作成本。高级别计算变得更便宜，而状态访问变得更昂贵。”重新定价旨在使以太坊的费用结构更准确地反映不同操作消耗的资源，同时使网络更容易通过零知识证明系统进行扩展。</w:t>
      </w:r>
    </w:p>
    <w:p>
      <w:pPr>
        <w:pStyle w:val="正文内容"/>
        <w:spacing w:before="0" w:after="0" w:line="240" w:lineRule="auto"/>
        <w:ind w:left="0" w:right="0" w:firstLine="560"/>
        <w:jc w:val="both"/>
      </w:pPr>
      <w:r>
        <w:rPr>
          <w:rFonts w:ascii="Times New Roman" w:hAnsi="Times New Roman" w:cs="Times New Roman" w:eastAsia="仿宋"/>
          <w:b w:val="0"/>
          <w:sz w:val="28"/>
        </w:rPr>
        <w:t>目前，开发者的工作重点包括持续测试、完善规范，以及向更广泛的以太坊社区宣传gas重定价的影响。Jayanthi总结当前任务为：“主要是测试、完善规范、向社区宣传重定价，然后交付。”</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原文标题：Ethereum’s biggest protocol overhaul in years moves into its final development stage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原文链接：https://www.coindesk.com/tech/2026/06/16/ethereum-s-biggest-protocol-overhaul-in-years-moves-into-its-final-development-stage</w:t>
      </w:r>
    </w:p>
    <w:p/>
    <w:p>
      <w:pPr>
        <w:pStyle w:val="文章一级标题"/>
        <w:spacing w:before="0" w:after="0" w:line="240" w:lineRule="auto"/>
        <w:ind w:left="0" w:right="0" w:firstLine="0"/>
        <w:jc w:val="center"/>
      </w:pPr>
      <w:r>
        <w:rPr>
          <w:rFonts w:ascii="Times New Roman" w:hAnsi="Times New Roman" w:cs="Times New Roman" w:eastAsia="黑体"/>
          <w:b w:val="0"/>
          <w:sz w:val="30"/>
        </w:rPr>
        <w:t>Coinbase计划推出11支持的代币化美股</w:t>
      </w:r>
    </w:p>
    <w:p>
      <w:pPr>
        <w:spacing w:before="0" w:after="0" w:line="240" w:lineRule="auto"/>
        <w:ind w:left="0" w:right="0" w:firstLine="0"/>
        <w:jc w:val="both"/>
      </w:pPr>
      <w:r>
        <w:rPr>
          <w:rFonts w:ascii="Times New Roman" w:hAnsi="Times New Roman" w:cs="Times New Roman" w:eastAsia="仿宋"/>
          <w:b w:val="0"/>
          <w:sz w:val="28"/>
        </w:rPr>
        <w:t>· Coinbase 宣布计划推出 1：1 支持的美国股票代币化版本，用户可链上购买、交易、持有和赎回，并自动获得股息。</w:t>
      </w:r>
    </w:p>
    <w:p>
      <w:pPr>
        <w:spacing w:before="0" w:after="0" w:line="240" w:lineRule="auto"/>
        <w:ind w:left="0" w:right="0" w:firstLine="0"/>
        <w:jc w:val="both"/>
      </w:pPr>
      <w:r>
        <w:rPr>
          <w:rFonts w:ascii="Times New Roman" w:hAnsi="Times New Roman" w:cs="Times New Roman" w:eastAsia="仿宋"/>
          <w:b w:val="0"/>
          <w:sz w:val="28"/>
        </w:rPr>
        <w:t>· Robinhood、Kraken、Binance、OKX 等多家平台均在探索美国股票上链，主要吸引力在于 24/7 市场准入和链上分发。</w:t>
      </w:r>
    </w:p>
    <w:p>
      <w:pPr>
        <w:spacing w:before="0" w:after="0" w:line="240" w:lineRule="auto"/>
        <w:ind w:left="0" w:right="0" w:firstLine="0"/>
        <w:jc w:val="both"/>
      </w:pPr>
      <w:r>
        <w:rPr>
          <w:rFonts w:ascii="Times New Roman" w:hAnsi="Times New Roman" w:cs="Times New Roman" w:eastAsia="仿宋"/>
          <w:b w:val="0"/>
          <w:sz w:val="28"/>
        </w:rPr>
        <w:t>· 代币化股票面临监管不确定性，涉及证券法、经纪规则、托管和清算等，Coinbase 的声明可能加速监管机构明确规则。</w:t>
      </w:r>
    </w:p>
    <w:p>
      <w:pPr>
        <w:pStyle w:val="正文内容"/>
        <w:spacing w:before="0" w:after="0" w:line="240" w:lineRule="auto"/>
        <w:ind w:left="0" w:right="0" w:firstLine="560"/>
        <w:jc w:val="both"/>
      </w:pPr>
      <w:r>
        <w:rPr>
          <w:rFonts w:ascii="Times New Roman" w:hAnsi="Times New Roman" w:cs="Times New Roman" w:eastAsia="仿宋"/>
          <w:b w:val="0"/>
          <w:sz w:val="28"/>
        </w:rPr>
        <w:t>加密货币交易所 Coinbase 宣布计划推出 1：1 支持的美国股票代币化版本，成为又一家将传统股票引入区块链轨道的头部加密平台。该公司表示，用户将能够在链上购买、交易、持有和赎回美国公司的代币化股票，并自动获得股息。Coinbase 在社交媒体帖子中强调：“首个真正的、1：1 支持的代币化股票即将到来。拥有美国公司的实际代币化股票，在链上交易、持有和赎回，自动获得股息，没有衍生品，没有欠条。”</w:t>
      </w:r>
    </w:p>
    <w:p>
      <w:pPr>
        <w:pStyle w:val="正文内容"/>
        <w:spacing w:before="0" w:after="0" w:line="240" w:lineRule="auto"/>
        <w:ind w:left="0" w:right="0" w:firstLine="560"/>
        <w:jc w:val="both"/>
      </w:pPr>
      <w:r>
        <w:rPr>
          <w:rFonts w:ascii="Times New Roman" w:hAnsi="Times New Roman" w:cs="Times New Roman" w:eastAsia="仿宋"/>
          <w:b w:val="0"/>
          <w:sz w:val="28"/>
        </w:rPr>
        <w:t>这种措辞至关重要。许多加密平台已经提供与美国股票表现挂钩的产品，但这些产品的结构差异很大——有些是合成产品，有些是衍生品，有些并不承诺发行方持有基础股票储备。Coinbase 试图将其模型与这些版本区分开来，宣称其代币直接由实际美国公司股票支持。对于投资者而言，关键问题是每个代币化股票是否完全由对应的传统股票支持，以及用户能否通过清晰的流程赎回代币。</w:t>
      </w:r>
    </w:p>
    <w:p>
      <w:pPr>
        <w:pStyle w:val="正文内容"/>
        <w:spacing w:before="0" w:after="0" w:line="240" w:lineRule="auto"/>
        <w:ind w:left="0" w:right="0" w:firstLine="560"/>
        <w:jc w:val="both"/>
      </w:pPr>
      <w:r>
        <w:rPr>
          <w:rFonts w:ascii="Times New Roman" w:hAnsi="Times New Roman" w:cs="Times New Roman" w:eastAsia="仿宋"/>
          <w:b w:val="0"/>
          <w:sz w:val="28"/>
        </w:rPr>
        <w:t>股息功能也值得关注。如果持有人自动获得股息，代币化股票将不再像价格追踪工具，而更像是基于区块链的传统证券封装。这可能会增加对长期投资者的吸引力，但也引发托管、股东权利、结算、税收和经纪商义务等更复杂的问题。如果模式如描述的那样运作，代币化股票能让加密原生投资者在不离开区块链基础设施的情况下接触美国股票，从而在钱包、链上应用和数字资产平台中实现股票敞口。</w:t>
      </w:r>
    </w:p>
    <w:p>
      <w:pPr>
        <w:pStyle w:val="正文内容"/>
        <w:spacing w:before="0" w:after="0" w:line="240" w:lineRule="auto"/>
        <w:ind w:left="0" w:right="0" w:firstLine="560"/>
        <w:jc w:val="both"/>
      </w:pPr>
      <w:r>
        <w:rPr>
          <w:rFonts w:ascii="Times New Roman" w:hAnsi="Times New Roman" w:cs="Times New Roman" w:eastAsia="仿宋"/>
          <w:b w:val="0"/>
          <w:sz w:val="28"/>
        </w:rPr>
        <w:t>Coinbase 的声明正值多家交易所探索美国股票上链之际。Robinhood 已启动一个基于 Arbitrum 的计划，涉及代币化美国股票和交易所交易基金（ETF）；Kraken 也在推进股权挂钩产品。全球平台包括 Binance 和 OKX，以及去中心化交易所 Hyperliquid 和 Lighter，都在研究提供美国股票敞口的方式。主要吸引力在于市场准入：代币化股票允许投资者在传统股市交易时间之外进行交易，创造出围绕现有资产的 24/7 交易层，这符合加密用户全天候交易的预期。</w:t>
      </w:r>
    </w:p>
    <w:p>
      <w:pPr>
        <w:pStyle w:val="正文内容"/>
        <w:spacing w:before="0" w:after="0" w:line="240" w:lineRule="auto"/>
        <w:ind w:left="0" w:right="0" w:firstLine="560"/>
        <w:jc w:val="both"/>
      </w:pPr>
      <w:r>
        <w:rPr>
          <w:rFonts w:ascii="Times New Roman" w:hAnsi="Times New Roman" w:cs="Times New Roman" w:eastAsia="仿宋"/>
          <w:b w:val="0"/>
          <w:sz w:val="28"/>
        </w:rPr>
        <w:t>第二个吸引力是分发。链上股票可以将股票敞口带入加密钱包、跨境交易场所、DeFi 应用和基于稳定币的结算系统，使传统经纪系统之外的投资者更容易获得美国股票，尤其是在美元资产需求旺盛的市场。但竞争将更多取决于结构而非宣传：提供合成敞口的平台与持有基础股票的平台不同；支付股息的代币与纯价格产品不同；可赎回的工具与非可赎回的工具风险各异。这些区别将影响监管机构、机构和用户对每个产品的评估。</w:t>
      </w:r>
    </w:p>
    <w:p>
      <w:pPr>
        <w:pStyle w:val="正文内容"/>
        <w:spacing w:before="0" w:after="0" w:line="240" w:lineRule="auto"/>
        <w:ind w:left="0" w:right="0" w:firstLine="560"/>
        <w:jc w:val="both"/>
      </w:pPr>
      <w:r>
        <w:rPr>
          <w:rFonts w:ascii="Times New Roman" w:hAnsi="Times New Roman" w:cs="Times New Roman" w:eastAsia="仿宋"/>
          <w:b w:val="0"/>
          <w:sz w:val="28"/>
        </w:rPr>
        <w:t>美国监管机构和立法者仍在厘清代币化股票交易的运作方式。核心问题是：能否在不削弱围绕托管、披露、交易时间、经纪监督和清算系统建立的投资者保护的前提下，将区块链结算纳入股票市场？对于 Coinbase 而言，挑战尤为巨大，因为代币化股票将使其更深地进入传统证券领域。交易所需要证明代币持有人受到保护、支持可验证、赎回可兑现，且股息处理符合证券规则。</w:t>
      </w:r>
    </w:p>
    <w:p>
      <w:pPr>
        <w:pStyle w:val="正文内容"/>
        <w:spacing w:before="0" w:after="0" w:line="240" w:lineRule="auto"/>
        <w:ind w:left="0" w:right="0" w:firstLine="560"/>
        <w:jc w:val="both"/>
      </w:pPr>
      <w:r>
        <w:rPr>
          <w:rFonts w:ascii="Times New Roman" w:hAnsi="Times New Roman" w:cs="Times New Roman" w:eastAsia="仿宋"/>
          <w:b w:val="0"/>
          <w:sz w:val="28"/>
        </w:rPr>
        <w:t>其他公司的近期活动显示了行业动向。由前 FTX 员工创立的加密交易所 Backpack 推出了 Backpack Securities，以结合传统和代币化股票交易。这反映了更广泛的行业观点：代币化股票可能成为加密市场与受监管金融之间下一个主要桥梁之一。但风险在于，桥梁的建设可能比产品公告所暗示的更耗时。代币化股票不仅需要区块链结算，还需要法律清晰度、托管保障、市场监控、税务处理和投资者披露，以经受监管审查。Coinbase 的计划可能加速监管机构为链上股票制定规则的压力，但截至目前，该声明更适合被视为进入快速形成市场的战略举措，而非完全定义的产品发布。</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原文标题：Coinbase Plans 1：1 Backed Tokenized U.S. Stocks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原文链接：https://financefeeds.com/coinbase-plans-11-backed-tokenized-u-s-stocks/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贝莱德推出比特币收入基金为投资者提供现金流收益</w:t>
      </w:r>
    </w:p>
    <w:p>
      <w:pPr>
        <w:spacing w:before="0" w:after="0" w:line="240" w:lineRule="auto"/>
        <w:ind w:left="0" w:right="0" w:firstLine="0"/>
        <w:jc w:val="both"/>
      </w:pPr>
      <w:r>
        <w:rPr>
          <w:rFonts w:ascii="Times New Roman" w:hAnsi="Times New Roman" w:cs="Times New Roman" w:eastAsia="仿宋"/>
          <w:b w:val="0"/>
          <w:sz w:val="28"/>
        </w:rPr>
        <w:t>· 贝莱德旗下iShares比特币溢价收益ETF（BITA）于周二开始交易，采用covered call策略，通过卖出约25%至35%投资组合的看涨期权来收取期权溢价，同时持有现货比特币和iShares比特币信托（IBIT）份额。</w:t>
      </w:r>
    </w:p>
    <w:p>
      <w:pPr>
        <w:spacing w:before="0" w:after="0" w:line="240" w:lineRule="auto"/>
        <w:ind w:left="0" w:right="0" w:firstLine="0"/>
        <w:jc w:val="both"/>
      </w:pPr>
      <w:r>
        <w:rPr>
          <w:rFonts w:ascii="Times New Roman" w:hAnsi="Times New Roman" w:cs="Times New Roman" w:eastAsia="仿宋"/>
          <w:b w:val="0"/>
          <w:sz w:val="28"/>
        </w:rPr>
        <w:t>· 贝莱德美国股票ETF主管Jay Jacobs表示，该基金旨在满足不同类型投资者的需求，包括收入型投资者、希望从比特币持仓中产生现金流的持有者，以及那些因传统资产（如黄金）不产生收益而回避的投资者。</w:t>
      </w:r>
    </w:p>
    <w:p>
      <w:pPr>
        <w:spacing w:before="0" w:after="0" w:line="240" w:lineRule="auto"/>
        <w:ind w:left="0" w:right="0" w:firstLine="0"/>
        <w:jc w:val="both"/>
      </w:pPr>
      <w:r>
        <w:rPr>
          <w:rFonts w:ascii="Times New Roman" w:hAnsi="Times New Roman" w:cs="Times New Roman" w:eastAsia="仿宋"/>
          <w:b w:val="0"/>
          <w:sz w:val="28"/>
        </w:rPr>
        <w:t>· Jacobs认为BITA的推出是比特币资产成熟的标志，是对IBIT的补充，主要吸引新投资者而非IBIT存量资金转移。</w:t>
      </w:r>
    </w:p>
    <w:p>
      <w:pPr>
        <w:pStyle w:val="正文内容"/>
        <w:spacing w:before="0" w:after="0" w:line="240" w:lineRule="auto"/>
        <w:ind w:left="0" w:right="0" w:firstLine="560"/>
        <w:jc w:val="both"/>
      </w:pPr>
      <w:r>
        <w:rPr>
          <w:rFonts w:ascii="Times New Roman" w:hAnsi="Times New Roman" w:cs="Times New Roman" w:eastAsia="仿宋"/>
          <w:b w:val="0"/>
          <w:sz w:val="28"/>
        </w:rPr>
        <w:t>贝莱德（BlackRock）旗下最新比特币交易所交易基金——比特币溢价收益基金（Bitcoin Premium Income Fund，BITA）于周二开始交易。该基金并非旨在择时，而是为了满足随着资产类别成熟而增长的投资者需求。贝莱德美国股票ETF主管Jay Jacobs表示：“这是我们酝酿已久的一个想法。不论市场环境如何，我们看到各类投资者都希望在对比特币保持较大多头持仓的同时，产生一定程度的收入。”</w:t>
      </w:r>
    </w:p>
    <w:p>
      <w:pPr>
        <w:pStyle w:val="正文内容"/>
        <w:spacing w:before="0" w:after="0" w:line="240" w:lineRule="auto"/>
        <w:ind w:left="0" w:right="0" w:firstLine="560"/>
        <w:jc w:val="both"/>
      </w:pPr>
      <w:r>
        <w:rPr>
          <w:rFonts w:ascii="Times New Roman" w:hAnsi="Times New Roman" w:cs="Times New Roman" w:eastAsia="仿宋"/>
          <w:b w:val="0"/>
          <w:sz w:val="28"/>
        </w:rPr>
        <w:t>BITA基金采用covered call策略来产生月收入。具体操作是：基金持有现货比特币和iShares比特币信托（iShares Bitcoin Trust，IBIT）份额，然后卖出约25%至35%投资组合的看涨期权，以收取期权溢价。该基金推出之际，比特币正难以摆脱熊市，交易价格约67，000美元，年内下跌约23%。</w:t>
      </w:r>
    </w:p>
    <w:p>
      <w:pPr>
        <w:pStyle w:val="正文内容"/>
        <w:spacing w:before="0" w:after="0" w:line="240" w:lineRule="auto"/>
        <w:ind w:left="0" w:right="0" w:firstLine="560"/>
        <w:jc w:val="both"/>
      </w:pPr>
      <w:r>
        <w:rPr>
          <w:rFonts w:ascii="Times New Roman" w:hAnsi="Times New Roman" w:cs="Times New Roman" w:eastAsia="仿宋"/>
          <w:b w:val="0"/>
          <w:sz w:val="28"/>
        </w:rPr>
        <w:t>IBIT于2024年1月推出，已积累近490亿美元资产，成为市场上最大的现货比特币ETF。但自年初以来，受比特币价格下跌以及其他资产类别（如备受期待的SpaceX和Anthropic的首次公开募股）的兴奋情绪影响，IBIT出现了显著资金流出。</w:t>
      </w:r>
    </w:p>
    <w:p>
      <w:pPr>
        <w:pStyle w:val="正文内容"/>
        <w:spacing w:before="0" w:after="0" w:line="240" w:lineRule="auto"/>
        <w:ind w:left="0" w:right="0" w:firstLine="560"/>
        <w:jc w:val="both"/>
      </w:pPr>
      <w:r>
        <w:rPr>
          <w:rFonts w:ascii="Times New Roman" w:hAnsi="Times New Roman" w:cs="Times New Roman" w:eastAsia="仿宋"/>
          <w:b w:val="0"/>
          <w:sz w:val="28"/>
        </w:rPr>
        <w:t>Jay Jacobs认为BITA有几个潜在受众群体。第一类是收入型投资者，希望分散投资于传统收益来源（如股息股票和债券）之外。第二类是比特币持有者，他们仍然看好加密货币，但希望从持仓中产生现金流。Jacobs说：“可以想象，有些人将很大一部分财富配置在比特币上，但希望有一个收入流来支持他们的生活。”</w:t>
      </w:r>
    </w:p>
    <w:p>
      <w:pPr>
        <w:pStyle w:val="正文内容"/>
        <w:spacing w:before="0" w:after="0" w:line="240" w:lineRule="auto"/>
        <w:ind w:left="0" w:right="0" w:firstLine="560"/>
        <w:jc w:val="both"/>
      </w:pPr>
      <w:r>
        <w:rPr>
          <w:rFonts w:ascii="Times New Roman" w:hAnsi="Times New Roman" w:cs="Times New Roman" w:eastAsia="仿宋"/>
          <w:b w:val="0"/>
          <w:sz w:val="28"/>
        </w:rPr>
        <w:t>第三类投资者可能是那些历史上因黄金等资产不产生现金流而回避的投资者。Jacobs表示：“多年来我们遇到过这类投资者——‘如果黄金不能以任何方式产生现金，我怎么能把它纳入投资组合？’这个产品也旨在解决这部分市场。”</w:t>
      </w:r>
    </w:p>
    <w:p>
      <w:pPr>
        <w:pStyle w:val="正文内容"/>
        <w:spacing w:before="0" w:after="0" w:line="240" w:lineRule="auto"/>
        <w:ind w:left="0" w:right="0" w:firstLine="560"/>
        <w:jc w:val="both"/>
      </w:pPr>
      <w:r>
        <w:rPr>
          <w:rFonts w:ascii="Times New Roman" w:hAnsi="Times New Roman" w:cs="Times New Roman" w:eastAsia="仿宋"/>
          <w:b w:val="0"/>
          <w:sz w:val="28"/>
        </w:rPr>
        <w:t>虽然部分IBIT投资者可能将资产转入BITA，但Jacobs预计该基金将吸引许多比特币市场的新参与者。他说：“可能会有人从IBIT转移到BITA，但那些主要由收入驱动的收入型投资者，或者需要将现金流与资产关联的成熟投资者，可能今天并不是IBIT的持有者。”</w:t>
      </w:r>
    </w:p>
    <w:p>
      <w:pPr>
        <w:pStyle w:val="正文内容"/>
        <w:spacing w:before="0" w:after="0" w:line="240" w:lineRule="auto"/>
        <w:ind w:left="0" w:right="0" w:firstLine="560"/>
        <w:jc w:val="both"/>
      </w:pPr>
      <w:r>
        <w:rPr>
          <w:rFonts w:ascii="Times New Roman" w:hAnsi="Times New Roman" w:cs="Times New Roman" w:eastAsia="仿宋"/>
          <w:b w:val="0"/>
          <w:sz w:val="28"/>
        </w:rPr>
        <w:t>Jacobs认为，BITA的推出标志着投资者看待比特币方式的更广泛演变。“我认为这代表了这类资产的成熟。”围绕IBIT建立深度期权市场以及投资者对比特币理解的加深，催生了新的比特币投资方式需求，而不仅仅是简单的买入并持有。</w:t>
      </w:r>
    </w:p>
    <w:p>
      <w:pPr>
        <w:pStyle w:val="正文内容"/>
        <w:spacing w:before="0" w:after="0" w:line="240" w:lineRule="auto"/>
        <w:ind w:left="0" w:right="0" w:firstLine="560"/>
        <w:jc w:val="both"/>
      </w:pPr>
      <w:r>
        <w:rPr>
          <w:rFonts w:ascii="Times New Roman" w:hAnsi="Times New Roman" w:cs="Times New Roman" w:eastAsia="仿宋"/>
          <w:b w:val="0"/>
          <w:sz w:val="28"/>
        </w:rPr>
        <w:t>“BITA绝对是IBIT的补充，”Jacobs补充道。“绝大多数人仍然想要跟踪比特币现货价格的产品。但我们听到了许多关于人们如何参与这类资产的观点，而‘比特币附带补充收入’肯定是客户中反复出现的诉求之一。”</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原文标题：BlackRock's new bitcoin income fund offers cash flow alongside BTC exposure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原文链接：https://www.coindesk.com/markets/2026/06/16/blackrock-s-new-bitcoin-income-fund-offers-cash-flow-alongside-btc-exposure</w:t>
      </w:r>
    </w:p>
    <w:p/>
    <w:p>
      <w:pPr>
        <w:pStyle w:val="文章一级标题"/>
        <w:spacing w:before="0" w:after="0" w:line="240" w:lineRule="auto"/>
        <w:ind w:left="0" w:right="0" w:firstLine="0"/>
        <w:jc w:val="center"/>
      </w:pPr>
      <w:r>
        <w:rPr>
          <w:rFonts w:ascii="Times New Roman" w:hAnsi="Times New Roman" w:cs="Times New Roman" w:eastAsia="黑体"/>
          <w:b w:val="0"/>
          <w:sz w:val="30"/>
        </w:rPr>
        <w:t>Ripple投资非洲支付公司Flutterwave估值达32亿美元</w:t>
      </w:r>
    </w:p>
    <w:p>
      <w:pPr>
        <w:spacing w:before="0" w:after="0" w:line="240" w:lineRule="auto"/>
        <w:ind w:left="0" w:right="0" w:firstLine="0"/>
        <w:jc w:val="both"/>
      </w:pPr>
      <w:r>
        <w:rPr>
          <w:rFonts w:ascii="Times New Roman" w:hAnsi="Times New Roman" w:cs="Times New Roman" w:eastAsia="仿宋"/>
          <w:b w:val="0"/>
          <w:sz w:val="28"/>
        </w:rPr>
        <w:t>· Ripple参与Flutterwave的E轮融资，公司估值32亿美元，双方深化稳定币结算和区块链支付基础设施合作。</w:t>
      </w:r>
    </w:p>
    <w:p>
      <w:pPr>
        <w:spacing w:before="0" w:after="0" w:line="240" w:lineRule="auto"/>
        <w:ind w:left="0" w:right="0" w:firstLine="0"/>
        <w:jc w:val="both"/>
      </w:pPr>
      <w:r>
        <w:rPr>
          <w:rFonts w:ascii="Times New Roman" w:hAnsi="Times New Roman" w:cs="Times New Roman" w:eastAsia="仿宋"/>
          <w:b w:val="0"/>
          <w:sz w:val="28"/>
        </w:rPr>
        <w:t>· 合作将RLUSD和XRP Ledger引入Flutterwave在34个非洲市场的支付网络，涵盖嵌入RLUSD、XRP Ledger清算和统一API三个核心领域。</w:t>
      </w:r>
    </w:p>
    <w:p>
      <w:pPr>
        <w:spacing w:before="0" w:after="0" w:line="240" w:lineRule="auto"/>
        <w:ind w:left="0" w:right="0" w:firstLine="0"/>
        <w:jc w:val="both"/>
      </w:pPr>
      <w:r>
        <w:rPr>
          <w:rFonts w:ascii="Times New Roman" w:hAnsi="Times New Roman" w:cs="Times New Roman" w:eastAsia="仿宋"/>
          <w:b w:val="0"/>
          <w:sz w:val="28"/>
        </w:rPr>
        <w:t>· 该交易显示稳定币正深入支付基础设施，非洲因跨境支付痛点成为稳定币支付的天然测试市场。</w:t>
      </w:r>
    </w:p>
    <w:p>
      <w:pPr>
        <w:pStyle w:val="正文内容"/>
        <w:spacing w:before="0" w:after="0" w:line="240" w:lineRule="auto"/>
        <w:ind w:left="0" w:right="0" w:firstLine="560"/>
        <w:jc w:val="both"/>
      </w:pPr>
      <w:r>
        <w:rPr>
          <w:rFonts w:ascii="Times New Roman" w:hAnsi="Times New Roman" w:cs="Times New Roman" w:eastAsia="仿宋"/>
          <w:b w:val="0"/>
          <w:sz w:val="28"/>
        </w:rPr>
        <w:t>Ripple已参与非洲支付公司Flutterwave的E轮融资，该轮融资将Flutterwave估值推至32亿美元，并深化了双方围绕稳定币结算和区块链支付基础设施的战略伙伴关系。该交易将Ripple的RLUSD稳定币和XRP Ledger接入Flutterwave覆盖34个非洲市场的支付网络。</w:t>
      </w:r>
    </w:p>
    <w:p>
      <w:pPr>
        <w:pStyle w:val="正文内容"/>
        <w:spacing w:before="0" w:after="0" w:line="240" w:lineRule="auto"/>
        <w:ind w:left="0" w:right="0" w:firstLine="560"/>
        <w:jc w:val="both"/>
      </w:pPr>
      <w:r>
        <w:rPr>
          <w:rFonts w:ascii="Times New Roman" w:hAnsi="Times New Roman" w:cs="Times New Roman" w:eastAsia="仿宋"/>
          <w:b w:val="0"/>
          <w:sz w:val="28"/>
        </w:rPr>
        <w:t>Flutterwave表示，公司迄今已累计融资超过5亿美元，处理了超过10亿笔交易，总额超过500亿美元，并在34个非洲国家建立了基础设施。新的资本和产品联盟旨在支持其基于稳定币的支付路线图，重点关注结算、流动性和汇款走廊。</w:t>
      </w:r>
    </w:p>
    <w:p>
      <w:pPr>
        <w:pStyle w:val="正文内容"/>
        <w:spacing w:before="0" w:after="0" w:line="240" w:lineRule="auto"/>
        <w:ind w:left="0" w:right="0" w:firstLine="560"/>
        <w:jc w:val="both"/>
      </w:pPr>
      <w:r>
        <w:rPr>
          <w:rFonts w:ascii="Times New Roman" w:hAnsi="Times New Roman" w:cs="Times New Roman" w:eastAsia="仿宋"/>
          <w:b w:val="0"/>
          <w:sz w:val="28"/>
        </w:rPr>
        <w:t>合作围绕三大核心领域展开：将RLUSD嵌入Flutterwave的支付轨道和Send App汇款通道；利用XRP Ledger实现更快交易清算；部署统一API，将Flutterwave本地网络与Ripple Payments相连。这一结构使Ripple得以接入Flutterwave的本地支付覆盖，同时为Flutterwave提供基于区块链的高量通道结算层。</w:t>
      </w:r>
    </w:p>
    <w:p>
      <w:pPr>
        <w:pStyle w:val="正文内容"/>
        <w:spacing w:before="0" w:after="0" w:line="240" w:lineRule="auto"/>
        <w:ind w:left="0" w:right="0" w:firstLine="560"/>
        <w:jc w:val="both"/>
      </w:pPr>
      <w:r>
        <w:rPr>
          <w:rFonts w:ascii="Times New Roman" w:hAnsi="Times New Roman" w:cs="Times New Roman" w:eastAsia="仿宋"/>
          <w:b w:val="0"/>
          <w:sz w:val="28"/>
        </w:rPr>
        <w:t>RLUSD目前市值约16.5亿美元，远低于两大主导美元锚定稳定币USDT（约1865亿美元）和USDC（约750亿美元）。整个美元锚定稳定币市场供应量现已超过2950亿美元。这一差距使得分发渠道至关重要。通过整合到非洲主要支付平台，Ripple可将RLUSD的使用从交易所流动性扩展到支付流。</w:t>
      </w:r>
    </w:p>
    <w:p>
      <w:pPr>
        <w:pStyle w:val="正文内容"/>
        <w:spacing w:before="0" w:after="0" w:line="240" w:lineRule="auto"/>
        <w:ind w:left="0" w:right="0" w:firstLine="560"/>
        <w:jc w:val="both"/>
      </w:pPr>
      <w:r>
        <w:rPr>
          <w:rFonts w:ascii="Times New Roman" w:hAnsi="Times New Roman" w:cs="Times New Roman" w:eastAsia="仿宋"/>
          <w:b w:val="0"/>
          <w:sz w:val="28"/>
        </w:rPr>
        <w:t>非洲是稳定币支付的自然测试市场，因为跨境商业、汇款、美元获取和外汇成本仍是消费者和企业的主要痛点。能够降低结算延迟和减少汇兑摩擦的支付提供商，可能在商户服务、汇款和企业对企业转账中获得优势。Flutterwave的网络为合作提供了即时规模，其基础设施已连接数十个国家的本地支付方式。</w:t>
      </w:r>
    </w:p>
    <w:p>
      <w:pPr>
        <w:pStyle w:val="正文内容"/>
        <w:spacing w:before="0" w:after="0" w:line="240" w:lineRule="auto"/>
        <w:ind w:left="0" w:right="0" w:firstLine="560"/>
        <w:jc w:val="both"/>
      </w:pPr>
      <w:r>
        <w:rPr>
          <w:rFonts w:ascii="Times New Roman" w:hAnsi="Times New Roman" w:cs="Times New Roman" w:eastAsia="仿宋"/>
          <w:b w:val="0"/>
          <w:sz w:val="28"/>
        </w:rPr>
        <w:t>此次投资符合Ripple构建受监管全球支付和稳定币布局的更广泛战略。该公司近期获得了美国货币监理署（OCC）有条件批准成立Ripple National Trust Bank；在澳大利亚，Ripple正处收购BC Payments Australia的最后阶段，以获取澳大利亚金融服务牌照（AFSL）；在新加坡，Ripple于2025年底扩展了新加坡金融管理局（MAS）的大型支付机构牌照，并于2026年3月加入央行支持的BLOOM倡议，试点代币化银行负债和RLUSD贸易融资结算。</w:t>
      </w:r>
    </w:p>
    <w:p>
      <w:pPr>
        <w:pStyle w:val="正文内容"/>
        <w:spacing w:before="0" w:after="0" w:line="240" w:lineRule="auto"/>
        <w:ind w:left="0" w:right="0" w:firstLine="560"/>
        <w:jc w:val="both"/>
      </w:pPr>
      <w:r>
        <w:rPr>
          <w:rFonts w:ascii="Times New Roman" w:hAnsi="Times New Roman" w:cs="Times New Roman" w:eastAsia="仿宋"/>
          <w:b w:val="0"/>
          <w:sz w:val="28"/>
        </w:rPr>
        <w:t>对于投资者而言，关键在于RLUSD能否在由更大稳定币主导的市场中获得真正的支付效用。Flutterwave整合为Ripple提供了更强的分发渠道，但采用情况将取决于基础设施能否在多个非洲司法管辖区实现更低的成本、可靠的流动性和监管友好。</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原文标题：Ripple Invests in Flutterwave as Valuation Reaches $3.2 Billion</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原文链接：https://financefeeds.com/ripple-invests-in-flutterwave-as-valuation-reaches-3-2-billion/</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Strategy的MichaelSaylor比特币不需要以太坊风格的收益</w:t>
      </w:r>
    </w:p>
    <w:p>
      <w:pPr>
        <w:spacing w:before="0" w:after="0" w:line="240" w:lineRule="auto"/>
        <w:ind w:left="0" w:right="0" w:firstLine="0"/>
        <w:jc w:val="both"/>
      </w:pPr>
      <w:r>
        <w:rPr>
          <w:rFonts w:ascii="Times New Roman" w:hAnsi="Times New Roman" w:cs="Times New Roman" w:eastAsia="仿宋"/>
          <w:b w:val="0"/>
          <w:sz w:val="28"/>
        </w:rPr>
        <w:t>· Strategy执行董事长Michael Saylor表示，比特币不需要质押或以太坊风格的协议级收益机制，回报应来自围绕BTC构建的金融产品。</w:t>
      </w:r>
    </w:p>
    <w:p>
      <w:pPr>
        <w:spacing w:before="0" w:after="0" w:line="240" w:lineRule="auto"/>
        <w:ind w:left="0" w:right="0" w:firstLine="0"/>
        <w:jc w:val="both"/>
      </w:pPr>
      <w:r>
        <w:rPr>
          <w:rFonts w:ascii="Times New Roman" w:hAnsi="Times New Roman" w:cs="Times New Roman" w:eastAsia="仿宋"/>
          <w:b w:val="0"/>
          <w:sz w:val="28"/>
        </w:rPr>
        <w:t>· Saylor提出了五层“数字资产栈”，将比特币定位为信贷、货币、收益和股权结构的基础层，并强调比特币应保持“纯数字资本”，无需成为以太坊。</w:t>
      </w:r>
    </w:p>
    <w:p>
      <w:pPr>
        <w:spacing w:before="0" w:after="0" w:line="240" w:lineRule="auto"/>
        <w:ind w:left="0" w:right="0" w:firstLine="0"/>
        <w:jc w:val="both"/>
      </w:pPr>
      <w:r>
        <w:rPr>
          <w:rFonts w:ascii="Times New Roman" w:hAnsi="Times New Roman" w:cs="Times New Roman" w:eastAsia="仿宋"/>
          <w:b w:val="0"/>
          <w:sz w:val="28"/>
        </w:rPr>
        <w:t>· Saylor认为比特币的波动性并非缺陷，而是“高能资本”的自然特征，像STRC这样的信贷工具旨在通过位于比特币之上的资本结构来平滑价格波动。</w:t>
      </w:r>
    </w:p>
    <w:p>
      <w:pPr>
        <w:pStyle w:val="正文内容"/>
        <w:spacing w:before="0" w:after="0" w:line="240" w:lineRule="auto"/>
        <w:ind w:left="0" w:right="0" w:firstLine="560"/>
        <w:jc w:val="both"/>
      </w:pPr>
      <w:r>
        <w:rPr>
          <w:rFonts w:ascii="Times New Roman" w:hAnsi="Times New Roman" w:cs="Times New Roman" w:eastAsia="仿宋"/>
          <w:b w:val="0"/>
          <w:sz w:val="28"/>
        </w:rPr>
        <w:t>Strategy执行董事长Michael Saylor表示，比特币不需要质押、通胀或协议级收益机制，他认为回报应来自围绕BTC构建的金融产品。在6月16日的一条X帖子中，Saylor概述了一个五层“数字资产栈”，将比特币（BTC）定位为信贷、货币、收益和股权结构的基础。Saylor表示，比特币应保持“纯数字资本”，并且“不需要成为以太坊”就能为投资者带来回报。该框架强化了Strategy将比特币作为国库储备资产的策略，即通过围绕公司比特币持仓构建的金融产品产生回报——Strategy的持仓量是上市企业中最大的。</w:t>
      </w:r>
    </w:p>
    <w:p>
      <w:pPr>
        <w:pStyle w:val="正文内容"/>
        <w:spacing w:before="0" w:after="0" w:line="240" w:lineRule="auto"/>
        <w:ind w:left="0" w:right="0" w:firstLine="560"/>
        <w:jc w:val="both"/>
      </w:pPr>
      <w:r>
        <w:rPr>
          <w:rFonts w:ascii="Times New Roman" w:hAnsi="Times New Roman" w:cs="Times New Roman" w:eastAsia="仿宋"/>
          <w:b w:val="0"/>
          <w:sz w:val="28"/>
        </w:rPr>
        <w:t>Saylor的框架以“数字信贷”为核心，即围绕比特币持仓构建的金融工具，旨在产生回报的同时降低对BTC价格波动的敞口。在这种结构下，比特币作为抵押品，股权吸收大部分价格风险，而信贷工具获得更稳定的回报。Saylor多次引用Strategy式的证券，如STRC（该公司的永续优先股），将其定位为“数字信贷”的关键范例。在他看来，STRC类工具不仅是公司产品，更是通过资本市场工程在比特币之上构建的更广泛资产类别的实例。</w:t>
      </w:r>
    </w:p>
    <w:p>
      <w:pPr>
        <w:pStyle w:val="正文内容"/>
        <w:spacing w:before="0" w:after="0" w:line="240" w:lineRule="auto"/>
        <w:ind w:left="0" w:right="0" w:firstLine="560"/>
        <w:jc w:val="both"/>
      </w:pPr>
      <w:r>
        <w:rPr>
          <w:rFonts w:ascii="Times New Roman" w:hAnsi="Times New Roman" w:cs="Times New Roman" w:eastAsia="仿宋"/>
          <w:b w:val="0"/>
          <w:sz w:val="28"/>
        </w:rPr>
        <w:t>Saylor认为，信贷工具可以平滑比特币的价格波动。他表示比特币的波动性“并非缺陷”，而是“高能资本”的自然特征——由于稀缺、全球性和全天候交易，这种资本可能剧烈波动。在他的模型中，像STRC这样的工具通过位于比特币之上的资本结构来抑制这些价格波动。尽管Saylor在X帖子中没有直接讨论STRC的波动性，但他表示信贷工具可能经历不同程度的风险，具体取决于市场压力、流动性和投资者需求等因素。</w:t>
      </w:r>
    </w:p>
    <w:p>
      <w:pPr>
        <w:pStyle w:val="正文内容"/>
        <w:spacing w:before="0" w:after="0" w:line="240" w:lineRule="auto"/>
        <w:ind w:left="0" w:right="0" w:firstLine="560"/>
        <w:jc w:val="both"/>
      </w:pPr>
      <w:r>
        <w:rPr>
          <w:rFonts w:ascii="Times New Roman" w:hAnsi="Times New Roman" w:cs="Times New Roman" w:eastAsia="仿宋"/>
          <w:b w:val="0"/>
          <w:sz w:val="28"/>
        </w:rPr>
        <w:t>“重点不在于数字信贷始终有一个固定的波动率数字。它没有，”Saylor说。根据纳斯达克数据，Strategy的优先股STRC周一收盘价为95.20美元，下跌1.45%。该股票有100美元的面值，并被设计为在该水平附近交易。Saylor的言论强化了他将比特币视为“数字资本”以及Strategy在围绕它发行“数字信贷”中的角色，这也包括有时需要出售比特币来支持这一结构。</w:t>
      </w:r>
    </w:p>
    <w:p>
      <w:pPr>
        <w:pStyle w:val="正文内容"/>
        <w:spacing w:before="0" w:after="0" w:line="240" w:lineRule="auto"/>
        <w:ind w:left="0" w:right="0" w:firstLine="560"/>
        <w:jc w:val="both"/>
      </w:pPr>
      <w:r>
        <w:rPr>
          <w:rFonts w:ascii="Times New Roman" w:hAnsi="Times New Roman" w:cs="Times New Roman" w:eastAsia="仿宋"/>
          <w:b w:val="0"/>
          <w:sz w:val="28"/>
        </w:rPr>
        <w:t>在上周的BTC Prague会议上，Saylor对Cointelegraph表示：“如果公司的政策是我们不出售比特币，那么信贷就不会有价值，股权也不会产生价值。”这进一步说明了Strategy策略中比特币销售的必要性，以维持信贷和股权工具的价值。</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（信息来源：Cointelegraph）</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doesn't need Ethereum-style yield， says Strategy's Michael Saylor</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原文链接：https://cointelegraph.com/news/strategy-saylor-bitcoin-credit-alternative-crypto-yield</w:t>
      </w:r>
    </w:p>
    <w:p/>
    <w:p>
      <w:pPr>
        <w:pStyle w:val="文章一级标题"/>
        <w:spacing w:before="0" w:after="0" w:line="240" w:lineRule="auto"/>
        <w:ind w:left="0" w:right="0" w:firstLine="0"/>
        <w:jc w:val="center"/>
      </w:pPr>
      <w:r>
        <w:rPr>
          <w:rFonts w:ascii="Times New Roman" w:hAnsi="Times New Roman" w:cs="Times New Roman" w:eastAsia="黑体"/>
          <w:b w:val="0"/>
          <w:sz w:val="30"/>
        </w:rPr>
        <w:t>VanEck称比特币矿商AI转型面临500亿美元现实检验</w:t>
      </w:r>
    </w:p>
    <w:p>
      <w:pPr>
        <w:spacing w:before="0" w:after="0" w:line="240" w:lineRule="auto"/>
        <w:ind w:left="0" w:right="0" w:firstLine="0"/>
        <w:jc w:val="both"/>
      </w:pPr>
      <w:r>
        <w:rPr>
          <w:rFonts w:ascii="Times New Roman" w:hAnsi="Times New Roman" w:cs="Times New Roman" w:eastAsia="仿宋"/>
          <w:b w:val="0"/>
          <w:sz w:val="28"/>
        </w:rPr>
        <w:t>· VanEck报告显示，比特币矿商转向AI基础设施面临约500亿美元近期资金缺口及最高2210亿美元长期资本需求。</w:t>
      </w:r>
    </w:p>
    <w:p>
      <w:pPr>
        <w:spacing w:before="0" w:after="0" w:line="240" w:lineRule="auto"/>
        <w:ind w:left="0" w:right="0" w:firstLine="0"/>
        <w:jc w:val="both"/>
      </w:pPr>
      <w:r>
        <w:rPr>
          <w:rFonts w:ascii="Times New Roman" w:hAnsi="Times New Roman" w:cs="Times New Roman" w:eastAsia="仿宋"/>
          <w:b w:val="0"/>
          <w:sz w:val="28"/>
        </w:rPr>
        <w:t>· 投资者注意力正从AI合同宣布转向执行风险，矿商目前仅交付约25%的已租赁AI和高性能计算（HPC）容量。</w:t>
      </w:r>
    </w:p>
    <w:p>
      <w:pPr>
        <w:spacing w:before="0" w:after="0" w:line="240" w:lineRule="auto"/>
        <w:ind w:left="0" w:right="0" w:firstLine="0"/>
        <w:jc w:val="both"/>
      </w:pPr>
      <w:r>
        <w:rPr>
          <w:rFonts w:ascii="Times New Roman" w:hAnsi="Times New Roman" w:cs="Times New Roman" w:eastAsia="仿宋"/>
          <w:b w:val="0"/>
          <w:sz w:val="28"/>
        </w:rPr>
        <w:t>· 报告指出，错过建设里程碑的公司可能面临“结构性降级”，估值将取决于已通电电力和租户质量。</w:t>
      </w:r>
    </w:p>
    <w:p>
      <w:pPr>
        <w:pStyle w:val="正文内容"/>
        <w:spacing w:before="0" w:after="0" w:line="240" w:lineRule="auto"/>
        <w:ind w:left="0" w:right="0" w:firstLine="560"/>
        <w:jc w:val="both"/>
      </w:pPr>
      <w:r>
        <w:rPr>
          <w:rFonts w:ascii="Times New Roman" w:hAnsi="Times New Roman" w:cs="Times New Roman" w:eastAsia="仿宋"/>
          <w:b w:val="0"/>
          <w:sz w:val="28"/>
        </w:rPr>
        <w:t>比特币矿商在过去两年中纷纷将自己重塑为AI基础设施提供商，但根据VanEck的最新报告，这场转型正在进入更艰难的阶段：它们需要证明自己能够切实交付。VanEck认为，市场正开始超越对AI相关合同宣布的热情，转向一个更根本的问题——矿商能否建造和融资服务于AI客户所需的大规模数据中心项目。</w:t>
      </w:r>
    </w:p>
    <w:p>
      <w:pPr>
        <w:pStyle w:val="正文内容"/>
        <w:spacing w:before="0" w:after="0" w:line="240" w:lineRule="auto"/>
        <w:ind w:left="0" w:right="0" w:firstLine="560"/>
        <w:jc w:val="both"/>
      </w:pPr>
      <w:r>
        <w:rPr>
          <w:rFonts w:ascii="Times New Roman" w:hAnsi="Times New Roman" w:cs="Times New Roman" w:eastAsia="仿宋"/>
          <w:b w:val="0"/>
          <w:sz w:val="28"/>
        </w:rPr>
        <w:t>VanEck估计，该行业面临的近期资金缺口合计约为500亿美元，如果当前开发计划得以推进，长期资本需求约为2210亿美元。VanEck投资分析师Griffin MacMaster和数字资产研究主管Matthew Sigel表示：“执行力，而非签约，将成为下一个溢价指标。”他们指出，行业迄今仅交付了约25%已租赁给客户的AI和高性能计算（HPC，High-Performance Computing）容量。未能达到建设里程碑的公司可能面临投资者的“结构性降级”。</w:t>
      </w:r>
    </w:p>
    <w:p>
      <w:pPr>
        <w:pStyle w:val="正文内容"/>
        <w:spacing w:before="0" w:after="0" w:line="240" w:lineRule="auto"/>
        <w:ind w:left="0" w:right="0" w:firstLine="560"/>
        <w:jc w:val="both"/>
      </w:pPr>
      <w:r>
        <w:rPr>
          <w:rFonts w:ascii="Times New Roman" w:hAnsi="Times New Roman" w:cs="Times New Roman" w:eastAsia="仿宋"/>
          <w:b w:val="0"/>
          <w:sz w:val="28"/>
        </w:rPr>
        <w:t>这份报告发布之际，比特币挖矿行业正经历剧烈转变。2024年减半后挖矿盈利能力崩溃，许多矿商开始将自身电力基础设施改用于支持AI工作负载，押注科技公司愿意为电力和数据中心容量支付远高于比特币矿商的费用。Core Scientific（CORZ）与AI初创公司CoreWeave签署了数十亿美元托管协议，帮助其从比特币矿商转型为AI基础设施提供商。TeraWulf（WULF）、Hut 8（HUT）、Iren（IREN）和Cipher Mining（CIFR）均已宣布向AI和HPC客户出租电力和数据中心容量的计划，而Marathon Digital（MARA）、Riot Platforms（RIOT）和CleanSpark（CLSK）则采取混合策略，在维持比特币挖矿业务的同时探索AI机遇。</w:t>
      </w:r>
    </w:p>
    <w:p>
      <w:pPr>
        <w:pStyle w:val="正文内容"/>
        <w:spacing w:before="0" w:after="0" w:line="240" w:lineRule="auto"/>
        <w:ind w:left="0" w:right="0" w:firstLine="560"/>
        <w:jc w:val="both"/>
      </w:pPr>
      <w:r>
        <w:rPr>
          <w:rFonts w:ascii="Times New Roman" w:hAnsi="Times New Roman" w:cs="Times New Roman" w:eastAsia="仿宋"/>
          <w:b w:val="0"/>
          <w:sz w:val="28"/>
        </w:rPr>
        <w:t>尽管比特币（自1月以来下跌约24%）及加密货币价格持续下滑，但比特币矿商股价今年迄今却普遍上涨。RIOT年内涨幅近94%，CIFR上涨62%，其他矿商也录得类似涨幅。新叙事在过去一年推动了加密货币板块中一些最大的股票走势，投资者对许多公司的估值日益反映其AI潜力而非挖矿业务。</w:t>
      </w:r>
    </w:p>
    <w:p>
      <w:pPr>
        <w:pStyle w:val="正文内容"/>
        <w:spacing w:before="0" w:after="0" w:line="240" w:lineRule="auto"/>
        <w:ind w:left="0" w:right="0" w:firstLine="560"/>
        <w:jc w:val="both"/>
      </w:pPr>
      <w:r>
        <w:rPr>
          <w:rFonts w:ascii="Times New Roman" w:hAnsi="Times New Roman" w:cs="Times New Roman" w:eastAsia="仿宋"/>
          <w:b w:val="0"/>
          <w:sz w:val="28"/>
        </w:rPr>
        <w:t>但VanEck认为，估值仍然困难，因为投资者正在尝试为陷入两个世界之间的企业定价：不断衰落的挖矿业务和尚未产生有意义现金流的AI业务。目前，该公司表示最清晰的估值指标是“已通电电力”（energized power），即公司可用的运营电力基础设施规模。签署了AI租赁合同的公司，其估值倍数超过已通电电力的10倍；而仍处于推销未来项目阶段的矿商则以较低倍数交易。</w:t>
      </w:r>
    </w:p>
    <w:p>
      <w:pPr>
        <w:pStyle w:val="正文内容"/>
        <w:spacing w:before="0" w:after="0" w:line="240" w:lineRule="auto"/>
        <w:ind w:left="0" w:right="0" w:firstLine="560"/>
        <w:jc w:val="both"/>
      </w:pPr>
      <w:r>
        <w:rPr>
          <w:rFonts w:ascii="Times New Roman" w:hAnsi="Times New Roman" w:cs="Times New Roman" w:eastAsia="仿宋"/>
          <w:b w:val="0"/>
          <w:sz w:val="28"/>
        </w:rPr>
        <w:t>VanEck还预计，市场将更加重视租户质量。服务于投资级超大规模客户的运营商可能享有更低的融资成本和更高的估值，而与小型AI初创公司合作的企业则相反。报告指出，HIVE、Bitdeer（BTDR）、Keel和IREN若获得额外合同，具有潜在上行空间；而MARA、CLSK和RIOT等公司仍与比特币价格表现更为密切相关。最终，VanEck认为行业的下一阶段不再是宣布AI雄心，而是展示融资、建设和运营大规模基础设施的能力。赢家将是那些能够按时按预算将已租赁的兆瓦电力转化为功能型数据中心的公司。</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miners‘ AI pivot faces $50 billion reality check， says VanEck</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原文链接：https://www.coindesk.com/markets/2026/06/16/bitcoin-miners-ai-pivot-faces-usd50-billion-reality-check-says-vaneck</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2026-06-10 13:46 至 2026-06-17 13:46（北京时间，最近7天）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