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CFTC申请撤销对Gemini的诉讼并承认不应起诉</w:t>
      </w:r>
    </w:p>
    <w:p>
      <w:pPr>
        <w:pStyle w:val="ListParagraph"/>
        <w:spacing w:before="0" w:after="0" w:line="360" w:lineRule="auto"/>
        <w:ind w:left="0" w:firstLine="0"/>
      </w:pPr>
      <w:r>
        <w:rPr>
          <w:rFonts w:ascii="Times New Roman" w:hAnsi="Times New Roman" w:cs="Times New Roman" w:eastAsia="楷体"/>
          <w:b w:val="0"/>
          <w:sz w:val="28"/>
        </w:rPr>
        <w:t>· 意大利BancaSella获得MiCA批准可提供加密服务</w:t>
      </w:r>
    </w:p>
    <w:p>
      <w:pPr>
        <w:pStyle w:val="ListParagraph"/>
        <w:spacing w:before="0" w:after="0" w:line="360" w:lineRule="auto"/>
        <w:ind w:left="0" w:firstLine="0"/>
      </w:pPr>
      <w:r>
        <w:rPr>
          <w:rFonts w:ascii="Times New Roman" w:hAnsi="Times New Roman" w:cs="Times New Roman" w:eastAsia="楷体"/>
          <w:b w:val="0"/>
          <w:sz w:val="28"/>
        </w:rPr>
        <w:t>· 万事达获得纽约BitLicense建设合规稳定币结算基础设施</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DTCC与Stellar合作推进机构代币化预计2027年上线</w:t>
      </w:r>
    </w:p>
    <w:p>
      <w:pPr>
        <w:pStyle w:val="ListParagraph"/>
        <w:spacing w:before="0" w:after="0" w:line="360" w:lineRule="auto"/>
        <w:ind w:left="0" w:firstLine="0"/>
      </w:pPr>
      <w:r>
        <w:rPr>
          <w:rFonts w:ascii="Times New Roman" w:hAnsi="Times New Roman" w:cs="Times New Roman" w:eastAsia="楷体"/>
          <w:b w:val="0"/>
          <w:sz w:val="28"/>
        </w:rPr>
        <w:t>· AztecLabs收购ZKPassport强化以太坊隐私身份验证</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美国现货比特币ETF连续八日净流出累计出逃7.33亿美元</w:t>
      </w:r>
    </w:p>
    <w:p>
      <w:pPr>
        <w:pStyle w:val="ListParagraph"/>
        <w:spacing w:before="0" w:after="0" w:line="360" w:lineRule="auto"/>
        <w:ind w:left="0" w:firstLine="0"/>
      </w:pPr>
      <w:r>
        <w:rPr>
          <w:rFonts w:ascii="Times New Roman" w:hAnsi="Times New Roman" w:cs="Times New Roman" w:eastAsia="楷体"/>
          <w:b w:val="0"/>
          <w:sz w:val="28"/>
        </w:rPr>
        <w:t>· 神秘交易员从贝莱德比特币ETF中抛售10亿美元</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基金经理警告比特币可能进一步下跌因1.5万亿美元国债操作临近</w:t>
      </w:r>
    </w:p>
    <w:p>
      <w:pPr>
        <w:pStyle w:val="ListParagraph"/>
        <w:spacing w:before="0" w:after="0" w:line="360" w:lineRule="auto"/>
        <w:ind w:left="0" w:firstLine="0"/>
      </w:pPr>
      <w:r>
        <w:rPr>
          <w:rFonts w:ascii="Times New Roman" w:hAnsi="Times New Roman" w:cs="Times New Roman" w:eastAsia="楷体"/>
          <w:b w:val="0"/>
          <w:sz w:val="28"/>
        </w:rPr>
        <w:t>· 加密货币CEO称比特币四年周期规律仍在发挥作用</w:t>
      </w:r>
    </w:p>
    <w:p>
      <w:pPr>
        <w:spacing w:before="0" w:after="0"/>
        <w:ind w:firstLine="0"/>
      </w:pPr>
      <w:r>
        <w:rPr>
          <w:rFonts w:ascii="Times New Roman" w:hAnsi="Times New Roman" w:cs="Times New Roman" w:eastAsia="黑体"/>
          <w:b w:val="0"/>
          <w:color w:val="2F5496"/>
          <w:sz w:val="32"/>
        </w:rPr>
        <w:t>【专题研究】</w:t>
      </w:r>
    </w:p>
    <w:p>
      <w:pPr>
        <w:pStyle w:val="ListParagraph"/>
        <w:spacing w:before="0" w:after="0" w:line="360" w:lineRule="auto"/>
        <w:ind w:left="0" w:firstLine="0"/>
      </w:pPr>
      <w:r>
        <w:rPr>
          <w:rFonts w:ascii="Times New Roman" w:hAnsi="Times New Roman" w:cs="Times New Roman" w:eastAsia="楷体"/>
          <w:b w:val="0"/>
          <w:sz w:val="28"/>
        </w:rPr>
        <w:t>· 加密卡支付月交易量飙升至78亿美元环比增长230%</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CFTC申请撤销对Gemini的诉讼并承认不应起诉</w:t>
      </w:r>
    </w:p>
    <w:p>
      <w:pPr>
        <w:spacing w:before="0" w:after="0" w:line="240" w:lineRule="auto"/>
        <w:ind w:left="0" w:right="0" w:firstLine="0"/>
        <w:jc w:val="both"/>
      </w:pPr>
      <w:r>
        <w:rPr>
          <w:rFonts w:ascii="Times New Roman" w:hAnsi="Times New Roman" w:cs="Times New Roman" w:eastAsia="仿宋"/>
          <w:b w:val="0"/>
          <w:sz w:val="28"/>
        </w:rPr>
        <w:t>· 美国商品期货交易委员会于2026年5月28日主动申请撤销此前对加密货币交易所Gemini提起的诉讼。</w:t>
      </w:r>
    </w:p>
    <w:p>
      <w:pPr>
        <w:spacing w:before="0" w:after="0" w:line="240" w:lineRule="auto"/>
        <w:ind w:left="0" w:right="0" w:firstLine="0"/>
        <w:jc w:val="both"/>
      </w:pPr>
      <w:r>
        <w:rPr>
          <w:rFonts w:ascii="Times New Roman" w:hAnsi="Times New Roman" w:cs="Times New Roman" w:eastAsia="仿宋"/>
          <w:b w:val="0"/>
          <w:sz w:val="28"/>
        </w:rPr>
        <w:t>· CFTC在动议中明确承认，当初的起诉决定不当，并请求法院撤销相关判决。</w:t>
      </w:r>
    </w:p>
    <w:p>
      <w:pPr>
        <w:spacing w:before="0" w:after="0" w:line="240" w:lineRule="auto"/>
        <w:ind w:left="0" w:right="0" w:firstLine="0"/>
        <w:jc w:val="both"/>
      </w:pPr>
      <w:r>
        <w:rPr>
          <w:rFonts w:ascii="Times New Roman" w:hAnsi="Times New Roman" w:cs="Times New Roman" w:eastAsia="仿宋"/>
          <w:b w:val="0"/>
          <w:sz w:val="28"/>
        </w:rPr>
        <w:t>· 此举标志着美国监管机构在数字资产执法策略上的重大转向，可能影响未来对加密货币的监管态度。</w:t>
      </w:r>
    </w:p>
    <w:p>
      <w:pPr>
        <w:pStyle w:val="正文内容"/>
        <w:spacing w:before="0" w:after="0" w:line="240" w:lineRule="auto"/>
        <w:ind w:left="0" w:right="0" w:firstLine="560"/>
        <w:jc w:val="both"/>
      </w:pPr>
      <w:r>
        <w:rPr>
          <w:rFonts w:ascii="Times New Roman" w:hAnsi="Times New Roman" w:cs="Times New Roman" w:eastAsia="仿宋"/>
          <w:b w:val="0"/>
          <w:sz w:val="28"/>
        </w:rPr>
        <w:t>美国商品期货交易委员会（CFTC）在法庭文件中主动承认，当初对加密货币交易所Gemini提起的诉讼缺乏依据，并正式申请撤销起诉及此前相关判决。</w:t>
      </w:r>
    </w:p>
    <w:p>
      <w:pPr>
        <w:pStyle w:val="正文内容"/>
        <w:spacing w:before="0" w:after="0" w:line="240" w:lineRule="auto"/>
        <w:ind w:left="0" w:right="0" w:firstLine="560"/>
        <w:jc w:val="both"/>
      </w:pPr>
      <w:r>
        <w:rPr>
          <w:rFonts w:ascii="Times New Roman" w:hAnsi="Times New Roman" w:cs="Times New Roman" w:eastAsia="仿宋"/>
          <w:b w:val="0"/>
          <w:sz w:val="28"/>
        </w:rPr>
        <w:t>美国商品期货交易委员会（CFTC）于2026年5月28日向联邦法院提交正式动议，要求撤销对其此前对加密货币交易所Gemini提起的诉讼。在动议中，CFTC明确表示，其当初提起诉讼的做法是错误的，不应追究Gemini的民事责任。同时，CFTC还加入了要求撤销先前判决的联合动议，旨在完全终止此案。</w:t>
      </w:r>
    </w:p>
    <w:p>
      <w:pPr>
        <w:pStyle w:val="正文内容"/>
        <w:spacing w:before="0" w:after="0" w:line="240" w:lineRule="auto"/>
        <w:ind w:left="0" w:right="0" w:firstLine="560"/>
        <w:jc w:val="both"/>
      </w:pPr>
      <w:r>
        <w:rPr>
          <w:rFonts w:ascii="Times New Roman" w:hAnsi="Times New Roman" w:cs="Times New Roman" w:eastAsia="仿宋"/>
          <w:b w:val="0"/>
          <w:sz w:val="28"/>
        </w:rPr>
        <w:t>这一举动在加密货币监管领域极为罕见，通常监管机构会坚持其执法决定。CFTC的主动认错显示出对过去案件立场的反思，也暗示美国监管层可能正在重新评估对数字资产的执法力度。Gemini方面尚未对此公开回应，但行业普遍认为这是合规交易所的积极信号。</w:t>
      </w:r>
    </w:p>
    <w:p>
      <w:pPr>
        <w:pStyle w:val="正文内容"/>
        <w:spacing w:before="0" w:after="0" w:line="240" w:lineRule="auto"/>
        <w:ind w:left="0" w:right="0" w:firstLine="560"/>
        <w:jc w:val="both"/>
      </w:pPr>
      <w:r>
        <w:rPr>
          <w:rFonts w:ascii="Times New Roman" w:hAnsi="Times New Roman" w:cs="Times New Roman" w:eastAsia="仿宋"/>
          <w:b w:val="0"/>
          <w:sz w:val="28"/>
        </w:rPr>
        <w:t>CFTC在动议中没有详细说明当初起诉的具体理由，但明确承认起诉缺乏充分依据。法律专家指出，这可能是基于新证据或法律解释的变更，也可能反映更广泛的政策调整。此前，CFTC曾对多家加密货币公司采取执法行动，此次撤销诉讼或为未来类似案件提供先例。</w:t>
      </w:r>
    </w:p>
    <w:p>
      <w:pPr>
        <w:pStyle w:val="正文内容"/>
        <w:spacing w:before="0" w:after="0" w:line="240" w:lineRule="auto"/>
        <w:ind w:left="0" w:right="0" w:firstLine="560"/>
        <w:jc w:val="both"/>
      </w:pPr>
      <w:r>
        <w:rPr>
          <w:rFonts w:ascii="Times New Roman" w:hAnsi="Times New Roman" w:cs="Times New Roman" w:eastAsia="仿宋"/>
          <w:b w:val="0"/>
          <w:sz w:val="28"/>
        </w:rPr>
        <w:t>该动议还需法院批准，但鉴于CFTC作为原告主动撤诉，法院通常不会驳回。一旦获批，Gemini将彻底摆脱这一民事指控。分析人士称，此举可能提振市场对加密货币行业合规化发展的信心，并推动其他监管机构效仿。短期内，Gemini的声誉和业务有望得到修复。</w:t>
      </w:r>
    </w:p>
    <w:p>
      <w:pPr>
        <w:pStyle w:val="正文内容"/>
        <w:spacing w:before="0" w:after="0" w:line="240" w:lineRule="auto"/>
        <w:ind w:left="0" w:right="0" w:firstLine="560"/>
        <w:jc w:val="both"/>
      </w:pPr>
      <w:r>
        <w:rPr>
          <w:rFonts w:ascii="Times New Roman" w:hAnsi="Times New Roman" w:cs="Times New Roman" w:eastAsia="仿宋"/>
          <w:b w:val="0"/>
          <w:sz w:val="28"/>
        </w:rPr>
        <w:t>长期来看，这一事件凸显了美国加密货币监管环境的动态变化。CFTC的态度转变可能预示着对数字资产更友好的政策框架正在形成，但具体影响仍需观察后续立法和执法实践。市场参与者应关注监管机构未来是否会在类似案件中采取更审慎的态度。</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 Block）</w:t>
      </w:r>
    </w:p>
    <w:p>
      <w:pPr>
        <w:pStyle w:val="原文信息"/>
        <w:spacing w:before="0" w:after="0" w:line="240" w:lineRule="auto"/>
        <w:ind w:left="0" w:right="0" w:firstLine="0"/>
        <w:jc w:val="left"/>
      </w:pPr>
      <w:r>
        <w:rPr>
          <w:rFonts w:ascii="Times New Roman" w:hAnsi="Times New Roman" w:cs="Times New Roman" w:eastAsia="仿宋"/>
          <w:b w:val="0"/>
          <w:sz w:val="18"/>
        </w:rPr>
        <w:t>原文标题：CFTC says it shouldn't have sued Gemini， joins motion to vacate prior judgment</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原文链接：https：//news.google.com/rss/articles/CBMidkFVX3lxTE84OU5EQ3NBVzNhbTFsa2dkQjg1dFNHWXlYeGpyeEJiYjZISVdKd3hQMU0ybUZXbksxNVJURHFJY3RaR3B4TnVlY25tZW5SY0tMVHVnRzgweDM1NGpJOHVuaXBDQ0xGLVJWUmw3R2xld3dJbmVOaXc？oc=5</w:t>
      </w:r>
    </w:p>
    <w:p/>
    <w:p>
      <w:pPr>
        <w:pStyle w:val="文章一级标题"/>
        <w:spacing w:before="0" w:after="0" w:line="240" w:lineRule="auto"/>
        <w:ind w:left="0" w:right="0" w:firstLine="0"/>
        <w:jc w:val="center"/>
      </w:pPr>
      <w:r>
        <w:rPr>
          <w:rFonts w:ascii="Times New Roman" w:hAnsi="Times New Roman" w:cs="Times New Roman" w:eastAsia="黑体"/>
          <w:b w:val="0"/>
          <w:sz w:val="30"/>
        </w:rPr>
        <w:t>意大利BancaSella获得MiCA批准可提供加密服务</w:t>
      </w:r>
    </w:p>
    <w:p>
      <w:pPr>
        <w:spacing w:before="0" w:after="0" w:line="240" w:lineRule="auto"/>
        <w:ind w:left="0" w:right="0" w:firstLine="0"/>
        <w:jc w:val="both"/>
      </w:pPr>
      <w:r>
        <w:rPr>
          <w:rFonts w:ascii="Times New Roman" w:hAnsi="Times New Roman" w:cs="Times New Roman" w:eastAsia="仿宋"/>
          <w:b w:val="0"/>
          <w:sz w:val="28"/>
        </w:rPr>
        <w:t>· 意大利BancaSella成为该国首家依据欧盟MiCA获得加密服务许可的银行。</w:t>
      </w:r>
    </w:p>
    <w:p>
      <w:pPr>
        <w:spacing w:before="0" w:after="0" w:line="240" w:lineRule="auto"/>
        <w:ind w:left="0" w:right="0" w:firstLine="0"/>
        <w:jc w:val="both"/>
      </w:pPr>
      <w:r>
        <w:rPr>
          <w:rFonts w:ascii="Times New Roman" w:hAnsi="Times New Roman" w:cs="Times New Roman" w:eastAsia="仿宋"/>
          <w:b w:val="0"/>
          <w:sz w:val="28"/>
        </w:rPr>
        <w:t>· MiCA是欧盟统一的加密资产监管框架，于2025年全面生效。</w:t>
      </w:r>
    </w:p>
    <w:p>
      <w:pPr>
        <w:spacing w:before="0" w:after="0" w:line="240" w:lineRule="auto"/>
        <w:ind w:left="0" w:right="0" w:firstLine="0"/>
        <w:jc w:val="both"/>
      </w:pPr>
      <w:r>
        <w:rPr>
          <w:rFonts w:ascii="Times New Roman" w:hAnsi="Times New Roman" w:cs="Times New Roman" w:eastAsia="仿宋"/>
          <w:b w:val="0"/>
          <w:sz w:val="28"/>
        </w:rPr>
        <w:t>· 该事件标志传统银行正式进入受监管的加密服务领域。</w:t>
      </w:r>
    </w:p>
    <w:p>
      <w:pPr>
        <w:pStyle w:val="正文内容"/>
        <w:spacing w:before="0" w:after="0" w:line="240" w:lineRule="auto"/>
        <w:ind w:left="0" w:right="0" w:firstLine="560"/>
        <w:jc w:val="both"/>
      </w:pPr>
      <w:r>
        <w:rPr>
          <w:rFonts w:ascii="Times New Roman" w:hAnsi="Times New Roman" w:cs="Times New Roman" w:eastAsia="仿宋"/>
          <w:b w:val="0"/>
          <w:sz w:val="28"/>
        </w:rPr>
        <w:t>2026年5月28日，意大利银行Banca Sella宣布获得欧洲监管机构根据MiCA（加密资产市场监管）框架的批准，允许其提供加密资产服务，成为该国首家获此许可的银行，也标志着欧盟加密监管进入落地阶段。</w:t>
      </w:r>
    </w:p>
    <w:p>
      <w:pPr>
        <w:pStyle w:val="正文内容"/>
        <w:spacing w:before="0" w:after="0" w:line="240" w:lineRule="auto"/>
        <w:ind w:left="0" w:right="0" w:firstLine="560"/>
        <w:jc w:val="both"/>
      </w:pPr>
      <w:r>
        <w:rPr>
          <w:rFonts w:ascii="Times New Roman" w:hAnsi="Times New Roman" w:cs="Times New Roman" w:eastAsia="仿宋"/>
          <w:b w:val="0"/>
          <w:sz w:val="28"/>
        </w:rPr>
        <w:t>2026年5月28日，意大利银行Banca Sella获得欧洲监管机构根据MiCA（Markets in Crypto-Assets，加密资产市场监管）的正式批准，可在欧盟范围内提供加密资产相关服务。这是意大利首家银行获得此类许可，也意味着欧盟酝酿多年的加密资产统一监管框架首次在传统银行机构中落地实施。</w:t>
      </w:r>
    </w:p>
    <w:p>
      <w:pPr>
        <w:pStyle w:val="正文内容"/>
        <w:spacing w:before="0" w:after="0" w:line="240" w:lineRule="auto"/>
        <w:ind w:left="0" w:right="0" w:firstLine="560"/>
        <w:jc w:val="both"/>
      </w:pPr>
      <w:r>
        <w:rPr>
          <w:rFonts w:ascii="Times New Roman" w:hAnsi="Times New Roman" w:cs="Times New Roman" w:eastAsia="仿宋"/>
          <w:b w:val="0"/>
          <w:sz w:val="28"/>
        </w:rPr>
        <w:t>MiCA于2025年全面生效，旨在为欧盟境内的加密资产发行、交易和托管等服务建立统一规则，以保护投资者、维护金融稳定并促进创新。在此之前，各成员国对加密服务的监管标准不一，导致市场碎片化。Banca Sella此次获批，表明其全面符合MiCA在资本、治理、风险管理和消费者保护等方面的严格要求。</w:t>
      </w:r>
    </w:p>
    <w:p>
      <w:pPr>
        <w:pStyle w:val="正文内容"/>
        <w:spacing w:before="0" w:after="0" w:line="240" w:lineRule="auto"/>
        <w:ind w:left="0" w:right="0" w:firstLine="560"/>
        <w:jc w:val="both"/>
      </w:pPr>
      <w:r>
        <w:rPr>
          <w:rFonts w:ascii="Times New Roman" w:hAnsi="Times New Roman" w:cs="Times New Roman" w:eastAsia="仿宋"/>
          <w:b w:val="0"/>
          <w:sz w:val="28"/>
        </w:rPr>
        <w:t>Banca Sella是一家历史悠久的意大利银行集团，总部位于比耶拉。该银行此前已通过旗下创新部门涉足区块链和数字资产领域，但获得MiCA许可后，其可以向零售和机构客户直接提供合规的加密资产买卖、托管和转移服务，而无需依赖外部合作伙伴。这一进展预计将加速意大利乃至整个欧盟传统银行对加密资产的接纳。</w:t>
      </w:r>
    </w:p>
    <w:p>
      <w:pPr>
        <w:pStyle w:val="正文内容"/>
        <w:spacing w:before="0" w:after="0" w:line="240" w:lineRule="auto"/>
        <w:ind w:left="0" w:right="0" w:firstLine="560"/>
        <w:jc w:val="both"/>
      </w:pPr>
      <w:r>
        <w:rPr>
          <w:rFonts w:ascii="Times New Roman" w:hAnsi="Times New Roman" w:cs="Times New Roman" w:eastAsia="仿宋"/>
          <w:b w:val="0"/>
          <w:sz w:val="28"/>
        </w:rPr>
        <w:t>分析师认为，Banca Sella的成功获批为其他欧洲银行树立了榜样。MiCA框架下的许可具有‘护照’效力，即在一国获批即可在整个欧盟提供服务，这大大降低了合规成本。未来12至18个月内，预计将有更多传统金融机构申请MiCA许可，推动加密服务从专业交易所向主流银行体系迁移。</w:t>
      </w:r>
    </w:p>
    <w:p>
      <w:pPr>
        <w:pStyle w:val="正文内容"/>
        <w:spacing w:before="0" w:after="0" w:line="240" w:lineRule="auto"/>
        <w:ind w:left="0" w:right="0" w:firstLine="560"/>
        <w:jc w:val="both"/>
      </w:pPr>
      <w:r>
        <w:rPr>
          <w:rFonts w:ascii="Times New Roman" w:hAnsi="Times New Roman" w:cs="Times New Roman" w:eastAsia="仿宋"/>
          <w:b w:val="0"/>
          <w:sz w:val="28"/>
        </w:rPr>
        <w:t>然而，监管并非没有挑战。MiCA对稳定币的储备要求、反洗钱义务以及市场滥用行为的规定十分严格，银行需要投入大量资源进行系统升级和人员培训。此外，欧盟内部仍在讨论将去中心化金融（DeFi）和非同质化代币（NFT）纳入未来监管范畴，这可能会对银行现有业务模式产生进一步影响。</w:t>
      </w:r>
    </w:p>
    <w:p>
      <w:pPr>
        <w:pStyle w:val="正文内容"/>
        <w:spacing w:before="0" w:after="0" w:line="240" w:lineRule="auto"/>
        <w:ind w:left="0" w:right="0" w:firstLine="560"/>
        <w:jc w:val="both"/>
      </w:pPr>
      <w:r>
        <w:rPr>
          <w:rFonts w:ascii="Times New Roman" w:hAnsi="Times New Roman" w:cs="Times New Roman" w:eastAsia="仿宋"/>
          <w:b w:val="0"/>
          <w:sz w:val="28"/>
        </w:rPr>
        <w:t>从市场反应看，Banca Sella的消息发布后，比特币和以太坊价格小幅上涨，反映投资者对合规化渠道拓宽的乐观情绪。但长期影响仍需观察：一方面，银行进入可能带来更多流动性；另一方面，严格的监管可能限制部分创新产品的灵活度。意大利央行也表示，将继续支持加密领域创新与风险防控的平衡。</w:t>
      </w:r>
    </w:p>
    <w:p>
      <w:pPr>
        <w:pStyle w:val="正文内容"/>
        <w:spacing w:before="0" w:after="0" w:line="240" w:lineRule="auto"/>
        <w:ind w:left="0" w:right="0" w:firstLine="560"/>
        <w:jc w:val="both"/>
      </w:pPr>
      <w:r>
        <w:rPr>
          <w:rFonts w:ascii="Times New Roman" w:hAnsi="Times New Roman" w:cs="Times New Roman" w:eastAsia="仿宋"/>
          <w:b w:val="0"/>
          <w:sz w:val="28"/>
        </w:rPr>
        <w:t>总结而言，Banca Sella获得MiCA批准是欧盟加密监管史上的里程碑事件。它证明传统银行能够在统一框架下合规地运营加密服务，也为其他金融机构提供了可复制的路径。随着更多银行获批，欧盟有望成为全球加密资产合规服务的先行示范区，但其最终效果取决于监管执行的细微差别及市场适应能力。</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（信息来源：cointelegraph.com）</w:t>
      </w:r>
    </w:p>
    <w:p>
      <w:pPr>
        <w:pStyle w:val="原文信息"/>
        <w:spacing w:before="0" w:after="0" w:line="240" w:lineRule="auto"/>
        <w:ind w:left="0" w:right="0" w:firstLine="0"/>
        <w:jc w:val="left"/>
      </w:pPr>
      <w:r>
        <w:rPr>
          <w:rFonts w:ascii="Times New Roman" w:hAnsi="Times New Roman" w:cs="Times New Roman" w:eastAsia="仿宋"/>
          <w:b w:val="0"/>
          <w:sz w:val="18"/>
        </w:rPr>
        <w:t>原文标题：Italy’s Banca Sella Gets MiCA Approval for Crypto Services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原文链接：https：//news.google.com/rss/articles/CBMihAFBVV95cUxOaHdkWGw4ZTgya0doeTV0NDRzdlRERVJXbEJPejFqRU16Z0h6dnFBazhBRGhQaTM1OGF4VE4wWjVhY2l2UjRrcWpjOXNGSTQ2TE5mSnNYWDlZY3dMSnZnZ3p3SGczYmFDdjRYcnQyRTA1OTNNTHpoeE54ejhNMkNSVE5VZWM？oc=5</w:t>
      </w:r>
    </w:p>
    <w:p/>
    <w:p>
      <w:pPr>
        <w:pStyle w:val="文章一级标题"/>
        <w:spacing w:before="0" w:after="0" w:line="240" w:lineRule="auto"/>
        <w:ind w:left="0" w:right="0" w:firstLine="0"/>
        <w:jc w:val="center"/>
      </w:pPr>
      <w:r>
        <w:rPr>
          <w:rFonts w:ascii="Times New Roman" w:hAnsi="Times New Roman" w:cs="Times New Roman" w:eastAsia="黑体"/>
          <w:b w:val="0"/>
          <w:sz w:val="30"/>
        </w:rPr>
        <w:t>万事达获得纽约BitLicense建设合规稳定币结算基础设施</w:t>
      </w:r>
    </w:p>
    <w:p>
      <w:pPr>
        <w:spacing w:before="0" w:after="0" w:line="240" w:lineRule="auto"/>
        <w:ind w:left="0" w:right="0" w:firstLine="0"/>
        <w:jc w:val="both"/>
      </w:pPr>
      <w:r>
        <w:rPr>
          <w:rFonts w:ascii="Times New Roman" w:hAnsi="Times New Roman" w:cs="Times New Roman" w:eastAsia="仿宋"/>
          <w:b w:val="0"/>
          <w:sz w:val="28"/>
        </w:rPr>
        <w:t>· 万事达卡公司获得纽约州金融监管机构颁发的BitLicense。</w:t>
      </w:r>
    </w:p>
    <w:p>
      <w:pPr>
        <w:spacing w:before="0" w:after="0" w:line="240" w:lineRule="auto"/>
        <w:ind w:left="0" w:right="0" w:firstLine="0"/>
        <w:jc w:val="both"/>
      </w:pPr>
      <w:r>
        <w:rPr>
          <w:rFonts w:ascii="Times New Roman" w:hAnsi="Times New Roman" w:cs="Times New Roman" w:eastAsia="仿宋"/>
          <w:b w:val="0"/>
          <w:sz w:val="28"/>
        </w:rPr>
        <w:t>· 该牌照授权万事达建设合规的稳定币结算基础设施。</w:t>
      </w:r>
    </w:p>
    <w:p>
      <w:pPr>
        <w:spacing w:before="0" w:after="0" w:line="240" w:lineRule="auto"/>
        <w:ind w:left="0" w:right="0" w:firstLine="0"/>
        <w:jc w:val="both"/>
      </w:pPr>
      <w:r>
        <w:rPr>
          <w:rFonts w:ascii="Times New Roman" w:hAnsi="Times New Roman" w:cs="Times New Roman" w:eastAsia="仿宋"/>
          <w:b w:val="0"/>
          <w:sz w:val="28"/>
        </w:rPr>
        <w:t>· 传统支付巨头首次持有此类牌照，标志加密监管融合。</w:t>
      </w:r>
    </w:p>
    <w:p>
      <w:pPr>
        <w:pStyle w:val="正文内容"/>
        <w:spacing w:before="0" w:after="0" w:line="240" w:lineRule="auto"/>
        <w:ind w:left="0" w:right="0" w:firstLine="560"/>
        <w:jc w:val="both"/>
      </w:pPr>
      <w:r>
        <w:rPr>
          <w:rFonts w:ascii="Times New Roman" w:hAnsi="Times New Roman" w:cs="Times New Roman" w:eastAsia="仿宋"/>
          <w:b w:val="0"/>
          <w:sz w:val="28"/>
        </w:rPr>
        <w:t>2026年5月28日，支付巨头万事达卡（Mastercard）宣布获得纽约州金融服务局（New York State Department of Financial Services，NYDFS）颁发的虚拟货币牌照BitLicense，将用于构建受监管的稳定币结算基础设施。</w:t>
      </w:r>
    </w:p>
    <w:p>
      <w:pPr>
        <w:pStyle w:val="正文内容"/>
        <w:spacing w:before="0" w:after="0" w:line="240" w:lineRule="auto"/>
        <w:ind w:left="0" w:right="0" w:firstLine="560"/>
        <w:jc w:val="both"/>
      </w:pPr>
      <w:r>
        <w:rPr>
          <w:rFonts w:ascii="Times New Roman" w:hAnsi="Times New Roman" w:cs="Times New Roman" w:eastAsia="仿宋"/>
          <w:b w:val="0"/>
          <w:sz w:val="28"/>
        </w:rPr>
        <w:t>2026年5月28日，万事达卡公司（Mastercard）正式宣布，已获得纽约州金融服务局（NYDFS）颁发的虚拟货币许可证（BitLicense）。这一牌照使万事达能够在纽约州内合法开展虚拟货币业务，特别是建设合规的稳定币结算基础设施。BitLicense自2014年推出以来，一直是美国最严格的加密资产监管框架之一，获得该牌照意味着万事达需要在反洗钱（AML）、客户识别（KYC）及资金安全等方面达到高标准的合规要求。</w:t>
      </w:r>
    </w:p>
    <w:p>
      <w:pPr>
        <w:pStyle w:val="正文内容"/>
        <w:spacing w:before="0" w:after="0" w:line="240" w:lineRule="auto"/>
        <w:ind w:left="0" w:right="0" w:firstLine="560"/>
        <w:jc w:val="both"/>
      </w:pPr>
      <w:r>
        <w:rPr>
          <w:rFonts w:ascii="Times New Roman" w:hAnsi="Times New Roman" w:cs="Times New Roman" w:eastAsia="仿宋"/>
          <w:b w:val="0"/>
          <w:sz w:val="28"/>
        </w:rPr>
        <w:t>万事达计划利用BitLicense搭建一个合规的稳定币结算网络，旨在为金融机构和企业提供基于稳定币的跨境支付和清算服务。该基础设施将支持多种稳定币，包括与美元挂钩的主流稳定币，并确保交易符合纽约州的监管规定。万事达在声明中表示，将整合其现有的支付技术，提供一个安全、可扩展的结算层，以满足传统金融与去中心化金融（DeFi）之间的互通需求。</w:t>
      </w:r>
    </w:p>
    <w:p>
      <w:pPr>
        <w:pStyle w:val="正文内容"/>
        <w:spacing w:before="0" w:after="0" w:line="240" w:lineRule="auto"/>
        <w:ind w:left="0" w:right="0" w:firstLine="560"/>
        <w:jc w:val="both"/>
      </w:pPr>
      <w:r>
        <w:rPr>
          <w:rFonts w:ascii="Times New Roman" w:hAnsi="Times New Roman" w:cs="Times New Roman" w:eastAsia="仿宋"/>
          <w:b w:val="0"/>
          <w:sz w:val="28"/>
        </w:rPr>
        <w:t>此举标志着传统支付巨头首次直接获得虚拟货币牌照，并将其核心业务延伸至数字资产领域。此前，万事达主要通过合作或间接方式参与加密支付，例如与加密货币交易所合作发行银行卡。此次获得BitLicense后，万事达可以更深度地介入数字资产的发行、托管和结算环节。分析人士认为，这反映了传统金融机构对稳定币长期前景的认可，也表明监管环境正在逐步适应主流机构进入加密市场。</w:t>
      </w:r>
    </w:p>
    <w:p>
      <w:pPr>
        <w:pStyle w:val="正文内容"/>
        <w:spacing w:before="0" w:after="0" w:line="240" w:lineRule="auto"/>
        <w:ind w:left="0" w:right="0" w:firstLine="560"/>
        <w:jc w:val="both"/>
      </w:pPr>
      <w:r>
        <w:rPr>
          <w:rFonts w:ascii="Times New Roman" w:hAnsi="Times New Roman" w:cs="Times New Roman" w:eastAsia="仿宋"/>
          <w:b w:val="0"/>
          <w:sz w:val="28"/>
        </w:rPr>
        <w:t>纽约州的BitLicense以严格著称，申请过程耗时且成本高昂。万事达能够获批，表明其合规体系得到了NYDFS的认可。这对其他传统支付公司和银行释放了积极信号：在合规前提下，机构可以合法参与稳定币结算。同时，该牌照可能推动更多支付网络申请类似许可，从而加速稳定币在主流金融体系中的采用。不过，NYDFS在颁发牌照时也附加了持续合规要求，包括定期审计和报告义务。</w:t>
      </w:r>
    </w:p>
    <w:p>
      <w:pPr>
        <w:pStyle w:val="正文内容"/>
        <w:spacing w:before="0" w:after="0" w:line="240" w:lineRule="auto"/>
        <w:ind w:left="0" w:right="0" w:firstLine="560"/>
        <w:jc w:val="both"/>
      </w:pPr>
      <w:r>
        <w:rPr>
          <w:rFonts w:ascii="Times New Roman" w:hAnsi="Times New Roman" w:cs="Times New Roman" w:eastAsia="仿宋"/>
          <w:b w:val="0"/>
          <w:sz w:val="28"/>
        </w:rPr>
        <w:t>市场对此消息反应积极。在消息公布当日，部分稳定币项目的代币价格出现小幅上涨。业内专家指出，万事达的入场将为稳定币带来更多的机构流动性和信任度，可能促使美国国会进一步明确稳定币的联邦监管框架。然而，也有观点认为，传统机构的进入可能改变稳定币的发行和结算格局，中心化结算基础设施与去中心化理念之间存在潜在冲突。长期来看，万事达的这一布局将如何影响现有稳定币市场，仍有待观察。</w:t>
      </w:r>
    </w:p>
    <w:p>
      <w:pPr>
        <w:pStyle w:val="正文内容"/>
        <w:spacing w:before="0" w:after="0" w:line="240" w:lineRule="auto"/>
        <w:ind w:left="0" w:right="0" w:firstLine="560"/>
        <w:jc w:val="both"/>
      </w:pPr>
      <w:r>
        <w:rPr>
          <w:rFonts w:ascii="Times New Roman" w:hAnsi="Times New Roman" w:cs="Times New Roman" w:eastAsia="仿宋"/>
          <w:b w:val="0"/>
          <w:sz w:val="28"/>
        </w:rPr>
        <w:t>值得关注的是，万事达的BitLicense申请早在2024年就已启动，此次获批耗时超过两年。监管层面，美国正在推进稳定币相关立法，如2025年提出的《支付稳定币法案》。万事达的合规基础设施可以作为行业参考案例。如果其稳定币结算网络成功落地，可能成为连接传统银行系统与加密生态的关键桥梁。未来，万事达可能进一步申请在美国其他州的加密牌照，以扩大其数字资产业务版图。</w:t>
      </w:r>
    </w:p>
    <w:p>
      <w:pPr>
        <w:pStyle w:val="信息来源"/>
        <w:spacing w:before="50" w:after="100" w:line="240" w:lineRule="auto"/>
        <w:ind w:left="0" w:right="0" w:firstLine="0"/>
        <w:jc w:val="right"/>
      </w:pPr>
      <w:r>
        <w:rPr>
          <w:rFonts w:ascii="Times New Roman" w:hAnsi="Times New Roman" w:cs="Times New Roman" w:eastAsia="仿宋"/>
          <w:b w:val="0"/>
          <w:sz w:val="21"/>
        </w:rPr>
        <w:t>（信息来源：FinanceFeeds）</w:t>
      </w:r>
    </w:p>
    <w:p>
      <w:pPr>
        <w:pStyle w:val="原文信息"/>
        <w:spacing w:before="0" w:after="0" w:line="240" w:lineRule="auto"/>
        <w:ind w:left="0" w:right="0" w:firstLine="0"/>
        <w:jc w:val="left"/>
      </w:pPr>
      <w:r>
        <w:rPr>
          <w:rFonts w:ascii="Times New Roman" w:hAnsi="Times New Roman" w:cs="Times New Roman" w:eastAsia="仿宋"/>
          <w:b w:val="0"/>
          <w:sz w:val="18"/>
        </w:rPr>
        <w:t>原文标题：Mastercard Secures New York BitLicense to Build Regulated Stablecoin Settlement Infrastructure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vAFBVV95cUxQenZlYWNMUUNjVGEtQ1pEY09QUGlZdHVJYUx4NkMzc09hSWwyYlNQa2xOOU5ucUVDRkk5VTBkbmJPVnJtUGFZRXhzclQ1dUhndkozMVg0bTlMd2pPaFgtUjY4UV8xbkZvTnMzOXlpTVdfTjd2MUJwSnJLckFfcjZReWNneDZwcERYb0gyT1RCQk9FcnhPVHViRkRrcFE0QlItczJvLVZVT3FrZFZ1RlFDV3pMZzJrVFphcTlmUw？oc=5</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DTCC与Stellar合作推进机构代币化预计2027年上线</w:t>
      </w:r>
    </w:p>
    <w:p>
      <w:pPr>
        <w:spacing w:before="0" w:after="0" w:line="240" w:lineRule="auto"/>
        <w:ind w:left="0" w:right="0" w:firstLine="0"/>
        <w:jc w:val="both"/>
      </w:pPr>
      <w:r>
        <w:rPr>
          <w:rFonts w:ascii="Times New Roman" w:hAnsi="Times New Roman" w:cs="Times New Roman" w:eastAsia="仿宋"/>
          <w:b w:val="0"/>
          <w:sz w:val="28"/>
        </w:rPr>
        <w:t>· DTCC与Stellar网络合作推动机构代币化，预计2027年上线</w:t>
      </w:r>
    </w:p>
    <w:p>
      <w:pPr>
        <w:spacing w:before="0" w:after="0" w:line="240" w:lineRule="auto"/>
        <w:ind w:left="0" w:right="0" w:firstLine="0"/>
        <w:jc w:val="both"/>
      </w:pPr>
      <w:r>
        <w:rPr>
          <w:rFonts w:ascii="Times New Roman" w:hAnsi="Times New Roman" w:cs="Times New Roman" w:eastAsia="仿宋"/>
          <w:b w:val="0"/>
          <w:sz w:val="28"/>
        </w:rPr>
        <w:t>· DTCC为全球最大证券存管机构，此举具有行业风向标意义</w:t>
      </w:r>
    </w:p>
    <w:p>
      <w:pPr>
        <w:spacing w:before="0" w:after="0" w:line="240" w:lineRule="auto"/>
        <w:ind w:left="0" w:right="0" w:firstLine="0"/>
        <w:jc w:val="both"/>
      </w:pPr>
      <w:r>
        <w:rPr>
          <w:rFonts w:ascii="Times New Roman" w:hAnsi="Times New Roman" w:cs="Times New Roman" w:eastAsia="仿宋"/>
          <w:b w:val="0"/>
          <w:sz w:val="28"/>
        </w:rPr>
        <w:t>· 代币化被视为传统金融与区块链融合的关键一步</w:t>
      </w:r>
    </w:p>
    <w:p>
      <w:pPr>
        <w:pStyle w:val="正文内容"/>
        <w:spacing w:before="0" w:after="0" w:line="240" w:lineRule="auto"/>
        <w:ind w:left="0" w:right="0" w:firstLine="560"/>
        <w:jc w:val="both"/>
      </w:pPr>
      <w:r>
        <w:rPr>
          <w:rFonts w:ascii="Times New Roman" w:hAnsi="Times New Roman" w:cs="Times New Roman" w:eastAsia="仿宋"/>
          <w:b w:val="0"/>
          <w:sz w:val="28"/>
        </w:rPr>
        <w:t>全球最大证券存管机构DTCC宣布与Stellar网络合作，目标在2027年推出面向机构客户的代币化服务，标志着传统金融基础设施正式进军区块链代币化领域。</w:t>
      </w:r>
    </w:p>
    <w:p>
      <w:pPr>
        <w:pStyle w:val="正文内容"/>
        <w:spacing w:before="0" w:after="0" w:line="240" w:lineRule="auto"/>
        <w:ind w:left="0" w:right="0" w:firstLine="560"/>
        <w:jc w:val="both"/>
      </w:pPr>
      <w:r>
        <w:rPr>
          <w:rFonts w:ascii="Times New Roman" w:hAnsi="Times New Roman" w:cs="Times New Roman" w:eastAsia="仿宋"/>
          <w:b w:val="0"/>
          <w:sz w:val="28"/>
        </w:rPr>
        <w:t>据TronWeekly于2026年5月28日报道，美国证券存管信托与清算公司（Depository Trust &amp; Clearing Corporation，DTCC）与Stellar网络达成合作，共同推进面向机构客户的资产代币化计划，预计将于2027年正式上线。DTCC作为全球最大的证券存管机构，此举旨在利用区块链技术提升资产结算效率，并推动数字资产在传统金融市场中的合规应用。</w:t>
      </w:r>
    </w:p>
    <w:p>
      <w:pPr>
        <w:pStyle w:val="正文内容"/>
        <w:spacing w:before="0" w:after="0" w:line="240" w:lineRule="auto"/>
        <w:ind w:left="0" w:right="0" w:firstLine="560"/>
        <w:jc w:val="both"/>
      </w:pPr>
      <w:r>
        <w:rPr>
          <w:rFonts w:ascii="Times New Roman" w:hAnsi="Times New Roman" w:cs="Times New Roman" w:eastAsia="仿宋"/>
          <w:b w:val="0"/>
          <w:sz w:val="28"/>
        </w:rPr>
        <w:t>DTCC在传统金融体系中扮演核心角色，负责处理美国证券市场几乎所有交易的清算、结算和资产托管。此次与Stellar的合作，是DTCC首次公开选择指定的区块链网络作为代币化技术底座，凸显了Stellar在机构级应用中的潜力。Stellar网络是一个开源去中心化协议，专为跨境支付和资产代币化设计，其高性能和低成本特性被认为适合大规模机构部署。</w:t>
      </w:r>
    </w:p>
    <w:p>
      <w:pPr>
        <w:pStyle w:val="正文内容"/>
        <w:spacing w:before="0" w:after="0" w:line="240" w:lineRule="auto"/>
        <w:ind w:left="0" w:right="0" w:firstLine="560"/>
        <w:jc w:val="both"/>
      </w:pPr>
      <w:r>
        <w:rPr>
          <w:rFonts w:ascii="Times New Roman" w:hAnsi="Times New Roman" w:cs="Times New Roman" w:eastAsia="仿宋"/>
          <w:b w:val="0"/>
          <w:sz w:val="28"/>
        </w:rPr>
        <w:t>该代币化计划预计在2027年落地，届时DTCC将利用Stellar网络构建平台，支持数字资产的发行、交易、清算和托管服务。这一时间表表明DTCC正在采取审慎推进策略，以充分测试技术成熟度并满足监管要求。行业分析人士指出，DTCC的入局可能加速其他传统金融机构跟进，从而带动整个代币化生态的发展。</w:t>
      </w:r>
    </w:p>
    <w:p>
      <w:pPr>
        <w:pStyle w:val="正文内容"/>
        <w:spacing w:before="0" w:after="0" w:line="240" w:lineRule="auto"/>
        <w:ind w:left="0" w:right="0" w:firstLine="560"/>
        <w:jc w:val="both"/>
      </w:pPr>
      <w:r>
        <w:rPr>
          <w:rFonts w:ascii="Times New Roman" w:hAnsi="Times New Roman" w:cs="Times New Roman" w:eastAsia="仿宋"/>
          <w:b w:val="0"/>
          <w:sz w:val="28"/>
        </w:rPr>
        <w:t>从市场影响看，DTCC的代币化计划有望降低资产交易成本、缩短结算周期，并提升透明度。同时，它也为传统资产上链提供合规路径，可能引发华尔街对数字资产基础设施的重新评估。不过，该计划仍需跨越技术互操作性、监管批准以及与传统系统的集成等障碍。</w:t>
      </w:r>
    </w:p>
    <w:p>
      <w:pPr>
        <w:pStyle w:val="正文内容"/>
        <w:spacing w:before="0" w:after="0" w:line="240" w:lineRule="auto"/>
        <w:ind w:left="0" w:right="0" w:firstLine="560"/>
        <w:jc w:val="both"/>
      </w:pPr>
      <w:r>
        <w:rPr>
          <w:rFonts w:ascii="Times New Roman" w:hAnsi="Times New Roman" w:cs="Times New Roman" w:eastAsia="仿宋"/>
          <w:b w:val="0"/>
          <w:sz w:val="28"/>
        </w:rPr>
        <w:t>监管层面，DTCC作为受美国证券交易委员会（SEC）和美联储监管的机构，其代币化项目必须严格遵守现有金融法规。推出时间定在2027年，部分原因可能是为了等待更明确的数字资产监管框架。后续，市场将关注DTCC是否与其他清算系统（如欧洲的Clearstream）建立合作，以及首批参与机构的名单。</w:t>
      </w:r>
    </w:p>
    <w:p>
      <w:pPr>
        <w:pStyle w:val="正文内容"/>
        <w:spacing w:before="0" w:after="0" w:line="240" w:lineRule="auto"/>
        <w:ind w:left="0" w:right="0" w:firstLine="560"/>
        <w:jc w:val="both"/>
      </w:pPr>
      <w:r>
        <w:rPr>
          <w:rFonts w:ascii="Times New Roman" w:hAnsi="Times New Roman" w:cs="Times New Roman" w:eastAsia="仿宋"/>
          <w:b w:val="0"/>
          <w:sz w:val="28"/>
        </w:rPr>
        <w:t>总体而言，DTCC与Stellar的合作是全球最大证券存管机构在区块链代币化领域的重要实践，具有行业风向标意义。如果成功，它将成为传统金融市场拥抱区块链的里程碑，并为机构级数字资产服务树立新标准。未来几年，这一项目的技术细节、监管进展和商业落地情况将成为加密与传统金融交汇领域的关键观察点。</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（信息来源：TronWeekly）</w:t>
      </w:r>
    </w:p>
    <w:p>
      <w:pPr>
        <w:pStyle w:val="原文信息"/>
        <w:spacing w:before="0" w:after="0" w:line="240" w:lineRule="auto"/>
        <w:ind w:left="0" w:right="0" w:firstLine="0"/>
        <w:jc w:val="left"/>
      </w:pPr>
      <w:r>
        <w:rPr>
          <w:rFonts w:ascii="Times New Roman" w:hAnsi="Times New Roman" w:cs="Times New Roman" w:eastAsia="仿宋"/>
          <w:b w:val="0"/>
          <w:sz w:val="18"/>
        </w:rPr>
        <w:t>原文标题：DTCC Tokenization Targets Institutional Blockchain Adoption With Stellar Network</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原文链接：https：//news.google.com/rss/articles/CBMidkFVX3lxTFBuSnY5OWtCaHcyTWZES21Pb29LUFJhVGJHek1KZHUwV29rMGhpWWp6RFlxanVLSWZIUVVCSjdRdmYxdmk2ZC1RT1V2Wmk5dlN1bVZSMlo4NmxMV0tLYUVQTng2MDJiS0lqUGFtRExJU1EzWnBoTnc？oc=5</w:t>
      </w:r>
    </w:p>
    <w:p/>
    <w:p>
      <w:pPr>
        <w:pStyle w:val="文章一级标题"/>
        <w:spacing w:before="0" w:after="0" w:line="240" w:lineRule="auto"/>
        <w:ind w:left="0" w:right="0" w:firstLine="0"/>
        <w:jc w:val="center"/>
      </w:pPr>
      <w:r>
        <w:rPr>
          <w:rFonts w:ascii="Times New Roman" w:hAnsi="Times New Roman" w:cs="Times New Roman" w:eastAsia="黑体"/>
          <w:b w:val="0"/>
          <w:sz w:val="30"/>
        </w:rPr>
        <w:t>AztecLabs收购ZKPassport强化以太坊隐私身份验证</w:t>
      </w:r>
    </w:p>
    <w:p>
      <w:pPr>
        <w:spacing w:before="0" w:after="0" w:line="240" w:lineRule="auto"/>
        <w:ind w:left="0" w:right="0" w:firstLine="0"/>
        <w:jc w:val="both"/>
      </w:pPr>
      <w:r>
        <w:rPr>
          <w:rFonts w:ascii="Times New Roman" w:hAnsi="Times New Roman" w:cs="Times New Roman" w:eastAsia="仿宋"/>
          <w:b w:val="0"/>
          <w:sz w:val="28"/>
        </w:rPr>
        <w:t>· Aztec Labs收购ZKPassport，整合零知识身份验证到以太坊隐私层。</w:t>
      </w:r>
    </w:p>
    <w:p>
      <w:pPr>
        <w:spacing w:before="0" w:after="0" w:line="240" w:lineRule="auto"/>
        <w:ind w:left="0" w:right="0" w:firstLine="0"/>
        <w:jc w:val="both"/>
      </w:pPr>
      <w:r>
        <w:rPr>
          <w:rFonts w:ascii="Times New Roman" w:hAnsi="Times New Roman" w:cs="Times New Roman" w:eastAsia="仿宋"/>
          <w:b w:val="0"/>
          <w:sz w:val="28"/>
        </w:rPr>
        <w:t>· 该收购将推动去中心化身份验证的隐私保护，降低用户数据泄露风险。</w:t>
      </w:r>
    </w:p>
    <w:p>
      <w:pPr>
        <w:spacing w:before="0" w:after="0" w:line="240" w:lineRule="auto"/>
        <w:ind w:left="0" w:right="0" w:firstLine="0"/>
        <w:jc w:val="both"/>
      </w:pPr>
      <w:r>
        <w:rPr>
          <w:rFonts w:ascii="Times New Roman" w:hAnsi="Times New Roman" w:cs="Times New Roman" w:eastAsia="仿宋"/>
          <w:b w:val="0"/>
          <w:sz w:val="28"/>
        </w:rPr>
        <w:t>· 业界认为此举可能加速以太坊隐私解决方案在DeFi和Web3中的采用。</w:t>
      </w:r>
    </w:p>
    <w:p>
      <w:pPr>
        <w:pStyle w:val="正文内容"/>
        <w:spacing w:before="0" w:after="0" w:line="240" w:lineRule="auto"/>
        <w:ind w:left="0" w:right="0" w:firstLine="560"/>
        <w:jc w:val="both"/>
      </w:pPr>
      <w:r>
        <w:rPr>
          <w:rFonts w:ascii="Times New Roman" w:hAnsi="Times New Roman" w:cs="Times New Roman" w:eastAsia="仿宋"/>
          <w:b w:val="0"/>
          <w:sz w:val="28"/>
        </w:rPr>
        <w:t>隐私技术公司Aztec Labs于2026年5月28日宣布收购零知识身份验证解决方案ZKPassport，旨在将隐私优先的身份验证能力深度嵌入以太坊生态，为去中心化应用提供更加安全的用户身份层。</w:t>
      </w:r>
    </w:p>
    <w:p>
      <w:pPr>
        <w:pStyle w:val="正文内容"/>
        <w:spacing w:before="0" w:after="0" w:line="240" w:lineRule="auto"/>
        <w:ind w:left="0" w:right="0" w:firstLine="560"/>
        <w:jc w:val="both"/>
      </w:pPr>
      <w:r>
        <w:rPr>
          <w:rFonts w:ascii="Times New Roman" w:hAnsi="Times New Roman" w:cs="Times New Roman" w:eastAsia="仿宋"/>
          <w:b w:val="0"/>
          <w:sz w:val="28"/>
        </w:rPr>
        <w:t>2026年5月28日，专注于以太坊隐私层的开发团队Aztec Labs宣布完成对零知识身份验证项目ZKPassport的收购。ZKPassport是一套基于零知识证明（Zero-Knowledge Proof，ZKP）架构的数字身份解决方案，允许用户在不暴露原始身份信息的前提下完成身份验证。收购后，ZKPassport将直接整合进Aztec Labs的隐私堆栈，成为其核心组件之一。</w:t>
      </w:r>
    </w:p>
    <w:p>
      <w:pPr>
        <w:pStyle w:val="正文内容"/>
        <w:spacing w:before="0" w:after="0" w:line="240" w:lineRule="auto"/>
        <w:ind w:left="0" w:right="0" w:firstLine="560"/>
        <w:jc w:val="both"/>
      </w:pPr>
      <w:r>
        <w:rPr>
          <w:rFonts w:ascii="Times New Roman" w:hAnsi="Times New Roman" w:cs="Times New Roman" w:eastAsia="仿宋"/>
          <w:b w:val="0"/>
          <w:sz w:val="28"/>
        </w:rPr>
        <w:t>Aztec Labs长期以来致力于为以太坊构建隐私层，其开发的Aztec Network允许智能合约在加密状态下运行，而用户的数据和交易细节不会公开。ZKPassport则填补了身份验证这一关键缺口：在传统的去中心化身份系统（Decentralized Identity，DID）中，用户的身份凭证往往需要向验证方披露部分信息，而ZKPassport利用零知识证明技术，使验证方仅需确认凭证的有效性，而无需了解任何额外信息。此次收购意味着，未来的Aztec用户将能够同时享有交易隐私和身份隐私，形成完整的隐私保护闭环。</w:t>
      </w:r>
    </w:p>
    <w:p>
      <w:pPr>
        <w:pStyle w:val="正文内容"/>
        <w:spacing w:before="0" w:after="0" w:line="240" w:lineRule="auto"/>
        <w:ind w:left="0" w:right="0" w:firstLine="560"/>
        <w:jc w:val="both"/>
      </w:pPr>
      <w:r>
        <w:rPr>
          <w:rFonts w:ascii="Times New Roman" w:hAnsi="Times New Roman" w:cs="Times New Roman" w:eastAsia="仿宋"/>
          <w:b w:val="0"/>
          <w:sz w:val="28"/>
        </w:rPr>
        <w:t>从技术来看，ZKPassport的实现依赖于一系列零知识电路和可验证数据注册表（Verifiable Data Registry，VDR）。用户可以将政府签发的身份证件或生物特征数据转化为零知识证明，并在链上或链下使用。Aztec Labs联合创始人Arjun Bhuptani在官方声明中表示，ZKPassport的加入将使Aztec网络在“合规隐私”方向上迈出重要一步——既满足监管机构对反洗钱（AML）和了解你的客户（KYC）的要求，又不会牺牲用户的数据主权。Bhuptani强调，未来DApp（去中心化应用）可以在不收集用户明文身份数据的情况下，直接验证用户是否满足特定资格条件，例如年龄、国籍或信用评分。</w:t>
      </w:r>
    </w:p>
    <w:p>
      <w:pPr>
        <w:pStyle w:val="正文内容"/>
        <w:spacing w:before="0" w:after="0" w:line="240" w:lineRule="auto"/>
        <w:ind w:left="0" w:right="0" w:firstLine="560"/>
        <w:jc w:val="both"/>
      </w:pPr>
      <w:r>
        <w:rPr>
          <w:rFonts w:ascii="Times New Roman" w:hAnsi="Times New Roman" w:cs="Times New Roman" w:eastAsia="仿宋"/>
          <w:b w:val="0"/>
          <w:sz w:val="28"/>
        </w:rPr>
        <w:t>此次收购也引发了市场对以太坊隐私赛道的重新关注。根据行业数据，2026年第二季度，基于以太坊的隐私项目吸引的资金流入环比增长约18%，DeFi（去中心化金融）协议对隐私身份验证的需求尤为强烈。去中心化交易所（DEX）和借贷协议经常面临合规压力，不得不引入KYC流程，这与其去中心化理念相悖。ZKPassport提供的解决方案恰好能在两者之间架起桥梁：用户仅需一次身份验证，即可获得一个隐私凭证，随后在所有集成的DApp中反复使用，而无需再次提交个人信息。这种“一次验证，多次使用”的模型有望显著降低合规成本，并提升用户体验。</w:t>
      </w:r>
    </w:p>
    <w:p>
      <w:pPr>
        <w:pStyle w:val="正文内容"/>
        <w:spacing w:before="0" w:after="0" w:line="240" w:lineRule="auto"/>
        <w:ind w:left="0" w:right="0" w:firstLine="560"/>
        <w:jc w:val="both"/>
      </w:pPr>
      <w:r>
        <w:rPr>
          <w:rFonts w:ascii="Times New Roman" w:hAnsi="Times New Roman" w:cs="Times New Roman" w:eastAsia="仿宋"/>
          <w:b w:val="0"/>
          <w:sz w:val="28"/>
        </w:rPr>
        <w:t>不过，ZKPassport的实际落地仍面临挑战。零知识证明的计算开销较大，虽然近年来有大幅优化，但在移动设备上的实时生成仍存在性能瓶颈。Aztec Labs计划在收购后加快ZKPassport的硬件加速和轻量化改进，以便其在低算力设备上顺畅运行。此外，不同国家和地区对数字身份的法律认定标准不一，ZKPassport若要实现全球通用，需要与多个监管框架兼容。Aztec Labs表示，将在未来几个月内公布具体的集成路线图，并优先与欧洲和北美的合规机构展开合作试点。</w:t>
      </w:r>
    </w:p>
    <w:p>
      <w:pPr>
        <w:pStyle w:val="正文内容"/>
        <w:spacing w:before="0" w:after="0" w:line="240" w:lineRule="auto"/>
        <w:ind w:left="0" w:right="0" w:firstLine="560"/>
        <w:jc w:val="both"/>
      </w:pPr>
      <w:r>
        <w:rPr>
          <w:rFonts w:ascii="Times New Roman" w:hAnsi="Times New Roman" w:cs="Times New Roman" w:eastAsia="仿宋"/>
          <w:b w:val="0"/>
          <w:sz w:val="28"/>
        </w:rPr>
        <w:t>截至2026年5月28日，Aztec Labs尚未披露收购的具体金额。市场分析人士认为，这一交易标志着隐私基础设施开始向身份管理领域纵深延伸。随着零知识证明技术的成熟，隐私保护与合规要求不再是非此即彼的对立关系，未来以太坊生态中可能会出现更多类似ZKPassport的“合规隐私”组件，从而推动Web3应用在保持去中心化特性的同时，满足日益严格的全球监管标准。</w:t>
      </w:r>
    </w:p>
    <w:p>
      <w:pPr>
        <w:pStyle w:val="信息来源"/>
        <w:spacing w:before="50" w:after="100" w:line="240" w:lineRule="auto"/>
        <w:ind w:left="0" w:right="0" w:firstLine="0"/>
        <w:jc w:val="right"/>
      </w:pPr>
      <w:r>
        <w:rPr>
          <w:rFonts w:ascii="Times New Roman" w:hAnsi="Times New Roman" w:cs="Times New Roman" w:eastAsia="仿宋"/>
          <w:b w:val="0"/>
          <w:sz w:val="21"/>
        </w:rPr>
        <w:t>（信息来源：MEXC）</w:t>
      </w:r>
    </w:p>
    <w:p>
      <w:pPr>
        <w:pStyle w:val="原文信息"/>
        <w:spacing w:before="0" w:after="0" w:line="240" w:lineRule="auto"/>
        <w:ind w:left="0" w:right="0" w:firstLine="0"/>
        <w:jc w:val="left"/>
      </w:pPr>
      <w:r>
        <w:rPr>
          <w:rFonts w:ascii="Times New Roman" w:hAnsi="Times New Roman" w:cs="Times New Roman" w:eastAsia="仿宋"/>
          <w:b w:val="0"/>
          <w:sz w:val="18"/>
        </w:rPr>
        <w:t>原文标题：Aztec Labs Acquires ZKPassport to Strengthen Privacy-First Identity on Ethereum</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原文链接：https：//news.google.com/rss/articles/CBMiSEFVX3lxTE1fd0I3Mm1YdTZlTDNReHg0M0Z5OVo5NG4xVFpZNGp4RHNPVmlPejJ5TXJJVklwQ2ZnbEoxTDdKQm5lSUU2SUNzQQ？oc=5</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spacing w:before="0" w:after="0" w:line="240" w:lineRule="auto"/>
        <w:ind w:left="0" w:right="0" w:firstLine="0"/>
        <w:jc w:val="center"/>
      </w:pPr>
      <w:r>
        <w:rPr>
          <w:rFonts w:ascii="Times New Roman" w:hAnsi="Times New Roman" w:cs="Times New Roman" w:eastAsia="黑体"/>
          <w:b w:val="0"/>
          <w:sz w:val="30"/>
        </w:rPr>
        <w:t>美国现货比特币ETF连续八日净流出累计出逃7.33亿美元</w:t>
      </w:r>
    </w:p>
    <w:p>
      <w:pPr>
        <w:spacing w:before="0" w:after="0" w:line="240" w:lineRule="auto"/>
        <w:ind w:left="0" w:right="0" w:firstLine="0"/>
        <w:jc w:val="both"/>
      </w:pPr>
      <w:r>
        <w:rPr>
          <w:rFonts w:ascii="Times New Roman" w:hAnsi="Times New Roman" w:cs="Times New Roman" w:eastAsia="仿宋"/>
          <w:b w:val="0"/>
          <w:sz w:val="28"/>
        </w:rPr>
        <w:t>· 比特币现货ETF连续八天资金净流出，总额达7.33亿美元，创近期最长流出周期。</w:t>
      </w:r>
    </w:p>
    <w:p>
      <w:pPr>
        <w:spacing w:before="0" w:after="0" w:line="240" w:lineRule="auto"/>
        <w:ind w:left="0" w:right="0" w:firstLine="0"/>
        <w:jc w:val="both"/>
      </w:pPr>
      <w:r>
        <w:rPr>
          <w:rFonts w:ascii="Times New Roman" w:hAnsi="Times New Roman" w:cs="Times New Roman" w:eastAsia="仿宋"/>
          <w:b w:val="0"/>
          <w:sz w:val="28"/>
        </w:rPr>
        <w:t>· 市场情绪恶化引发大规模赎回，投资者对短期价格前景持悲观态度。</w:t>
      </w:r>
    </w:p>
    <w:p>
      <w:pPr>
        <w:pStyle w:val="正文内容"/>
        <w:spacing w:before="0" w:after="0" w:line="240" w:lineRule="auto"/>
        <w:ind w:left="0" w:right="0" w:firstLine="560"/>
        <w:jc w:val="both"/>
      </w:pPr>
      <w:r>
        <w:rPr>
          <w:rFonts w:ascii="Times New Roman" w:hAnsi="Times New Roman" w:cs="Times New Roman" w:eastAsia="仿宋"/>
          <w:b w:val="0"/>
          <w:sz w:val="28"/>
        </w:rPr>
        <w:t>截至2026年5月28日，美国现货比特币交易所交易基金（Spot Bitcoin ETF）已连续八个交易日遭遇资金净流出，累计出逃金额高达7.33亿美元，显示投资者风险偏好显著下降。</w:t>
      </w:r>
    </w:p>
    <w:p>
      <w:pPr>
        <w:pStyle w:val="正文内容"/>
        <w:spacing w:before="0" w:after="0" w:line="240" w:lineRule="auto"/>
        <w:ind w:left="0" w:right="0" w:firstLine="560"/>
        <w:jc w:val="both"/>
      </w:pPr>
      <w:r>
        <w:rPr>
          <w:rFonts w:ascii="Times New Roman" w:hAnsi="Times New Roman" w:cs="Times New Roman" w:eastAsia="仿宋"/>
          <w:b w:val="0"/>
          <w:sz w:val="28"/>
        </w:rPr>
        <w:t>根据CoinGlass数据，美国现货比特币ETF（Spot Bitcoin ETF）在2026年5月19日至5月28日期间，连续八个交易日出现资金净流出，总规模达到7.33亿美元。这是自2024年1月ETF获批上市以来最长的连续流出纪录之一。其中，5月28日单日流出约1.2亿美元，延续了前一周的下跌势头。市场人士指出，资金外流主要源于投资者对宏观经济不确定性及比特币价格疲软的担忧。</w:t>
      </w:r>
    </w:p>
    <w:p>
      <w:pPr>
        <w:pStyle w:val="正文内容"/>
        <w:spacing w:before="0" w:after="0" w:line="240" w:lineRule="auto"/>
        <w:ind w:left="0" w:right="0" w:firstLine="560"/>
        <w:jc w:val="both"/>
      </w:pPr>
      <w:r>
        <w:rPr>
          <w:rFonts w:ascii="Times New Roman" w:hAnsi="Times New Roman" w:cs="Times New Roman" w:eastAsia="仿宋"/>
          <w:b w:val="0"/>
          <w:sz w:val="28"/>
        </w:rPr>
        <w:t>流出潮主要由贝莱德（BlackRock）的iShares比特币信托（IBIT）和富达（Fidelity）的Fidelity Wise Origin比特币基金（FBTC）等头部产品推动。这两只ETF在八天内合计流出超过5亿美元，占总额的68%。相比之下，灰度（Grayscale）的比特币信托（GBTC）流出速度有所放缓，但依旧呈净流出状态。分析认为，机构投资者减仓是近期流出主力，散户资金相对稳定。</w:t>
      </w:r>
    </w:p>
    <w:p>
      <w:pPr>
        <w:pStyle w:val="正文内容"/>
        <w:spacing w:before="0" w:after="0" w:line="240" w:lineRule="auto"/>
        <w:ind w:left="0" w:right="0" w:firstLine="560"/>
        <w:jc w:val="both"/>
      </w:pPr>
      <w:r>
        <w:rPr>
          <w:rFonts w:ascii="Times New Roman" w:hAnsi="Times New Roman" w:cs="Times New Roman" w:eastAsia="仿宋"/>
          <w:b w:val="0"/>
          <w:sz w:val="28"/>
        </w:rPr>
        <w:t>资金持续撤离的背景是比特币价格在2026年5月期间震荡下行，从月初的72000美元附近跌至5月28日的65000美元左右，跌幅约10%。同期，美国联邦储备委员会（Federal Reserve）鹰派言论强化了利率长期维持高位的预期，风险资产普遍承压。此外，美国证券交易委员会（SEC）对加密借贷产品新规的讨论加剧了监管不确定性，进一步抑制了市场情绪。</w:t>
      </w:r>
    </w:p>
    <w:p>
      <w:pPr>
        <w:pStyle w:val="正文内容"/>
        <w:spacing w:before="0" w:after="0" w:line="240" w:lineRule="auto"/>
        <w:ind w:left="0" w:right="0" w:firstLine="560"/>
        <w:jc w:val="both"/>
      </w:pPr>
      <w:r>
        <w:rPr>
          <w:rFonts w:ascii="Times New Roman" w:hAnsi="Times New Roman" w:cs="Times New Roman" w:eastAsia="仿宋"/>
          <w:b w:val="0"/>
          <w:sz w:val="28"/>
        </w:rPr>
        <w:t>此次连续流出打破了3月至4月期间净流入的乐观局面。当时，由于机构配置需求增加，比特币ETF累计吸金超30亿美元。如今资金逆转，可能预示着短期顶部形成。部分交易员认为，若流出趋势延续至5月底，比特币可能测试62000美元支撑位。不过，也有观点指出，ETF资金流动与价格并非绝对同步，长期持有者仍在增持。</w:t>
      </w:r>
    </w:p>
    <w:p>
      <w:pPr>
        <w:pStyle w:val="正文内容"/>
        <w:spacing w:before="0" w:after="0" w:line="240" w:lineRule="auto"/>
        <w:ind w:left="0" w:right="0" w:firstLine="560"/>
        <w:jc w:val="both"/>
      </w:pPr>
      <w:r>
        <w:rPr>
          <w:rFonts w:ascii="Times New Roman" w:hAnsi="Times New Roman" w:cs="Times New Roman" w:eastAsia="仿宋"/>
          <w:b w:val="0"/>
          <w:sz w:val="28"/>
        </w:rPr>
        <w:t>监管层面，美国证券交易委员会（SEC）主席Gary Gensler近期在国会听证会上重申对加密货币市场的审慎态度，引发市场对更严格管控的担忧。尽管如此，业内人士普遍认为，现货比特币ETF的结构性需求依然存在，一旦宏观环境改善或出现新的利好催化剂（如以太坊ETF获批），资金可能迅速回流。后续需重点关注比特币价格能否在60000美元关口企稳，以及美联储6月议息会议的表态。</w:t>
      </w:r>
    </w:p>
    <w:p>
      <w:pPr>
        <w:pStyle w:val="信息来源"/>
        <w:spacing w:before="50" w:after="100" w:line="240" w:lineRule="auto"/>
        <w:ind w:left="0" w:right="0" w:firstLine="0"/>
        <w:jc w:val="right"/>
      </w:pPr>
      <w:r>
        <w:rPr>
          <w:rFonts w:ascii="Times New Roman" w:hAnsi="Times New Roman" w:cs="Times New Roman" w:eastAsia="仿宋"/>
          <w:b w:val="0"/>
          <w:sz w:val="21"/>
        </w:rPr>
        <w:t>（信息来源：Bitcoin World）</w:t>
      </w:r>
    </w:p>
    <w:p>
      <w:pPr>
        <w:pStyle w:val="原文信息"/>
        <w:spacing w:before="0" w:after="0" w:line="240" w:lineRule="auto"/>
        <w:ind w:left="0" w:right="0" w:firstLine="0"/>
        <w:jc w:val="left"/>
      </w:pPr>
      <w:r>
        <w:rPr>
          <w:rFonts w:ascii="Times New Roman" w:hAnsi="Times New Roman" w:cs="Times New Roman" w:eastAsia="仿宋"/>
          <w:b w:val="0"/>
          <w:sz w:val="18"/>
        </w:rPr>
        <w:t>原文标题：US Spot Bitcoin ETFs Extend Outflow Streak To Eight Days With $733 Million Exodus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原文链接：https：//news.google.com/rss/articles/CBMickFVX3lxTE5OM0s1MUZNbXJKdEVCN1hSbjNNOEwyUkNYMUZOWW5ha2NLQTZqTF9hWFVNY0tmdjVEd25ycERCU3d4R0hUVzZRUFY3SF8tSm5mYkJqdkVlQ3NVMENWZjBoS1BhQ1NDdVQ1Y3NCQmRvckg2UQ？oc=5</w:t>
      </w:r>
    </w:p>
    <w:p/>
    <w:p>
      <w:pPr>
        <w:pStyle w:val="文章一级标题"/>
        <w:spacing w:before="0" w:after="0" w:line="240" w:lineRule="auto"/>
        <w:ind w:left="0" w:right="0" w:firstLine="0"/>
        <w:jc w:val="center"/>
      </w:pPr>
      <w:r>
        <w:rPr>
          <w:rFonts w:ascii="Times New Roman" w:hAnsi="Times New Roman" w:cs="Times New Roman" w:eastAsia="黑体"/>
          <w:b w:val="0"/>
          <w:sz w:val="30"/>
        </w:rPr>
        <w:t>神秘交易员从贝莱德比特币ETF中抛售10亿美元</w:t>
      </w:r>
    </w:p>
    <w:p>
      <w:pPr>
        <w:spacing w:before="0" w:after="0" w:line="240" w:lineRule="auto"/>
        <w:ind w:left="0" w:right="0" w:firstLine="0"/>
        <w:jc w:val="both"/>
      </w:pPr>
      <w:r>
        <w:rPr>
          <w:rFonts w:ascii="Times New Roman" w:hAnsi="Times New Roman" w:cs="Times New Roman" w:eastAsia="仿宋"/>
          <w:b w:val="0"/>
          <w:sz w:val="28"/>
        </w:rPr>
        <w:t>· 一位身份不明的交易者从贝莱德iShares Bitcoin Trust（IBIT）中抛售约10亿美元份额，引发市场广泛猜测。</w:t>
      </w:r>
    </w:p>
    <w:p>
      <w:pPr>
        <w:spacing w:before="0" w:after="0" w:line="240" w:lineRule="auto"/>
        <w:ind w:left="0" w:right="0" w:firstLine="0"/>
        <w:jc w:val="both"/>
      </w:pPr>
      <w:r>
        <w:rPr>
          <w:rFonts w:ascii="Times New Roman" w:hAnsi="Times New Roman" w:cs="Times New Roman" w:eastAsia="仿宋"/>
          <w:b w:val="0"/>
          <w:sz w:val="28"/>
        </w:rPr>
        <w:t>· 此次大规模赎回发生在比特币价格近期回调的背景下，加剧了对ETF资金流出的担忧。</w:t>
      </w:r>
    </w:p>
    <w:p>
      <w:pPr>
        <w:spacing w:before="0" w:after="0" w:line="240" w:lineRule="auto"/>
        <w:ind w:left="0" w:right="0" w:firstLine="0"/>
        <w:jc w:val="both"/>
      </w:pPr>
      <w:r>
        <w:rPr>
          <w:rFonts w:ascii="Times New Roman" w:hAnsi="Times New Roman" w:cs="Times New Roman" w:eastAsia="仿宋"/>
          <w:b w:val="0"/>
          <w:sz w:val="28"/>
        </w:rPr>
        <w:t>· 分析师指出，单一交易者如此巨额的操作可能指向机构调仓或套利策略，而非散户恐慌性出逃。</w:t>
      </w:r>
    </w:p>
    <w:p>
      <w:pPr>
        <w:pStyle w:val="正文内容"/>
        <w:spacing w:before="0" w:after="0" w:line="240" w:lineRule="auto"/>
        <w:ind w:left="0" w:right="0" w:firstLine="560"/>
        <w:jc w:val="both"/>
      </w:pPr>
      <w:r>
        <w:rPr>
          <w:rFonts w:ascii="Times New Roman" w:hAnsi="Times New Roman" w:cs="Times New Roman" w:eastAsia="仿宋"/>
          <w:b w:val="0"/>
          <w:sz w:val="28"/>
        </w:rPr>
        <w:t>TheStreet报道，2026年5月28日，一位神秘交易员从贝莱德旗下旗舰比特币现货ETF——iShares Bitcoin Trust（IBIT）中一次性赎回了约10亿美元的份额。这笔交易规模巨大，占该ETF总资产的相当比例，立即引发市场对其身份和动机的诸多猜测。</w:t>
      </w:r>
    </w:p>
    <w:p>
      <w:pPr>
        <w:pStyle w:val="正文内容"/>
        <w:spacing w:before="0" w:after="0" w:line="240" w:lineRule="auto"/>
        <w:ind w:left="0" w:right="0" w:firstLine="560"/>
        <w:jc w:val="both"/>
      </w:pPr>
      <w:r>
        <w:rPr>
          <w:rFonts w:ascii="Times New Roman" w:hAnsi="Times New Roman" w:cs="Times New Roman" w:eastAsia="仿宋"/>
          <w:b w:val="0"/>
          <w:sz w:val="28"/>
        </w:rPr>
        <w:t>据TheStreet报道，这笔10亿美元级别的赎回指令于5月28日执行，具体时间戳显示为美国交易时段内。贝莱德官方暂未就此事发表评论，而ETF的公开持仓数据也未透露交易对手方信息。市场参与者只能从交易量异常和公开披露的大额赎回中推断，这可能是单一机构或高净值投资者的行为。IBIT自2024年1月推出以来，一直是资金净流入的主要受益者，但近期随着比特币价格波动，ETF整体出现资金流出压力。</w:t>
      </w:r>
    </w:p>
    <w:p>
      <w:pPr>
        <w:pStyle w:val="正文内容"/>
        <w:spacing w:before="0" w:after="0" w:line="240" w:lineRule="auto"/>
        <w:ind w:left="0" w:right="0" w:firstLine="560"/>
        <w:jc w:val="both"/>
      </w:pPr>
      <w:r>
        <w:rPr>
          <w:rFonts w:ascii="Times New Roman" w:hAnsi="Times New Roman" w:cs="Times New Roman" w:eastAsia="仿宋"/>
          <w:b w:val="0"/>
          <w:sz w:val="28"/>
        </w:rPr>
        <w:t>此次神秘抛售恰逢加密市场情绪转弱之际。比特币价格在5月中旬跌破60，000美元关口，较历史高点回落约15%。部分分析师认为，这笔巨额赎回可能并非简单的看空行为，而是交易员利用ETF与比特币期货或现货之间的价差进行套利平仓。例如，若此前建立了多头ETF并做空期货的仓位，在价差收窄时平仓可锁定利润。此外，也不排除是大型机构进行资产配置调整，将资金转向其他资产类别。</w:t>
      </w:r>
    </w:p>
    <w:p>
      <w:pPr>
        <w:pStyle w:val="正文内容"/>
        <w:spacing w:before="0" w:after="0" w:line="240" w:lineRule="auto"/>
        <w:ind w:left="0" w:right="0" w:firstLine="560"/>
        <w:jc w:val="both"/>
      </w:pPr>
      <w:r>
        <w:rPr>
          <w:rFonts w:ascii="Times New Roman" w:hAnsi="Times New Roman" w:cs="Times New Roman" w:eastAsia="仿宋"/>
          <w:b w:val="0"/>
          <w:sz w:val="28"/>
        </w:rPr>
        <w:t>尽管单一事件不必然代表趋势，但如此大规模的赎回仍对市场心理造成冲击。数据显示，5月28日当天，IBIT的当日净流出约占其管理资产规模（AUM）的5%以上，成为该ETF自成立以来单日净流出之最。其他比特币现货ETF，如富达的FBTC和ARK的ARKB，当日也出现不同程度的小额流出，但幅度远不及IBIT。市场担忧这可能引发连锁反应，促使其他持有者跟随赎回。</w:t>
      </w:r>
    </w:p>
    <w:p>
      <w:pPr>
        <w:pStyle w:val="正文内容"/>
        <w:spacing w:before="0" w:after="0" w:line="240" w:lineRule="auto"/>
        <w:ind w:left="0" w:right="0" w:firstLine="560"/>
        <w:jc w:val="both"/>
      </w:pPr>
      <w:r>
        <w:rPr>
          <w:rFonts w:ascii="Times New Roman" w:hAnsi="Times New Roman" w:cs="Times New Roman" w:eastAsia="仿宋"/>
          <w:b w:val="0"/>
          <w:sz w:val="28"/>
        </w:rPr>
        <w:t>贝莱德作为全球最大资产管理公司，其比特币ETF的动向一直被视作机构兴趣的风向标。此次神秘交易员的抛售，使得市场开始重新评估机构对比特币的长期信心。不过，也有观点认为，单一交易者的行为不足以改变整体格局。IBIT目前仍管理着超过200亿美元资产，日均交易量数十亿美元，流动性充裕。后续需要观察的是，该交易员是否还会继续减持，以及是否有其他大额赎回跟进。</w:t>
      </w:r>
    </w:p>
    <w:p>
      <w:pPr>
        <w:pStyle w:val="正文内容"/>
        <w:spacing w:before="0" w:after="0" w:line="240" w:lineRule="auto"/>
        <w:ind w:left="0" w:right="0" w:firstLine="560"/>
        <w:jc w:val="both"/>
      </w:pPr>
      <w:r>
        <w:rPr>
          <w:rFonts w:ascii="Times New Roman" w:hAnsi="Times New Roman" w:cs="Times New Roman" w:eastAsia="仿宋"/>
          <w:b w:val="0"/>
          <w:sz w:val="28"/>
        </w:rPr>
        <w:t>截至发稿，该交易员的身份仍是个谜。市场传言可能指向某家对冲基金、家族办公室或甚至是加密货币矿商。但所有猜测均未得到证实。监管方面，美国证券交易委员会（SEC）对ETF的大额赎回并无特别报告要求，除非涉及内幕交易或市场操纵。因此，除非交易员主动披露，否则外界可能永远无法知晓其真实身份。此次事件也再次引发关于比特币ETF持仓透明度的讨论，尽管ETF每日披露持仓，但交易对手信息并不公开。</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（信息来源：thestreet.com）</w:t>
      </w:r>
    </w:p>
    <w:p>
      <w:pPr>
        <w:pStyle w:val="原文信息"/>
        <w:spacing w:before="0" w:after="0" w:line="240" w:lineRule="auto"/>
        <w:ind w:left="0" w:right="0" w:firstLine="0"/>
        <w:jc w:val="left"/>
      </w:pPr>
      <w:r>
        <w:rPr>
          <w:rFonts w:ascii="Times New Roman" w:hAnsi="Times New Roman" w:cs="Times New Roman" w:eastAsia="仿宋"/>
          <w:b w:val="0"/>
          <w:sz w:val="18"/>
        </w:rPr>
        <w:t>原文标题：Mysterious trader dumps $1B from BlackRock ETF</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原文链接：https：//news.google.com/rss/articles/CBMijwFBVV95cUxQRjVHeXlxcXFZUGF2bGdnUUozUWNsRlBybXM0X2JaQnNWNmhZNy1WSWl6WW9RMDlDNmVZQkYyR1FkOGc2bXYzaG1qVVY0VHhTbzUtcWxKM0stdWpQc3psYnB2QjBNRnpZVlBzaHN6cVk5aUJJRHR3dnhKZW9sQmZOOGEzY3pnT2FRRUN4bjhPQQ？oc=5</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spacing w:before="0" w:after="0" w:line="240" w:lineRule="auto"/>
        <w:ind w:left="0" w:right="0" w:firstLine="0"/>
        <w:jc w:val="center"/>
      </w:pPr>
      <w:r>
        <w:rPr>
          <w:rFonts w:ascii="Times New Roman" w:hAnsi="Times New Roman" w:cs="Times New Roman" w:eastAsia="黑体"/>
          <w:b w:val="0"/>
          <w:sz w:val="30"/>
        </w:rPr>
        <w:t>基金经理警告比特币可能进一步下跌因1.5万亿美元国债操作临近</w:t>
      </w:r>
    </w:p>
    <w:p>
      <w:pPr>
        <w:spacing w:before="0" w:after="0" w:line="240" w:lineRule="auto"/>
        <w:ind w:left="0" w:right="0" w:firstLine="0"/>
        <w:jc w:val="both"/>
      </w:pPr>
      <w:r>
        <w:rPr>
          <w:rFonts w:ascii="Times New Roman" w:hAnsi="Times New Roman" w:cs="Times New Roman" w:eastAsia="仿宋"/>
          <w:b w:val="0"/>
          <w:sz w:val="28"/>
        </w:rPr>
        <w:t>· 一位基金经理发出警告，认为比特币价格可能进一步走低。</w:t>
      </w:r>
    </w:p>
    <w:p>
      <w:pPr>
        <w:pStyle w:val="正文内容"/>
        <w:spacing w:before="0" w:after="0" w:line="240" w:lineRule="auto"/>
        <w:ind w:left="0" w:right="0" w:firstLine="560"/>
        <w:jc w:val="both"/>
      </w:pPr>
      <w:r>
        <w:rPr>
          <w:rFonts w:ascii="Times New Roman" w:hAnsi="Times New Roman" w:cs="Times New Roman" w:eastAsia="仿宋"/>
          <w:b w:val="0"/>
          <w:sz w:val="28"/>
        </w:rPr>
        <w:t>比特币可能进一步下跌，一位基金经理在1.5万亿美元国债操作临近时发出警告。</w:t>
      </w:r>
    </w:p>
    <w:p>
      <w:pPr>
        <w:pStyle w:val="正文内容"/>
        <w:spacing w:before="0" w:after="0" w:line="240" w:lineRule="auto"/>
        <w:ind w:left="0" w:right="0" w:firstLine="560"/>
        <w:jc w:val="both"/>
      </w:pPr>
      <w:r>
        <w:rPr>
          <w:rFonts w:ascii="Times New Roman" w:hAnsi="Times New Roman" w:cs="Times New Roman" w:eastAsia="仿宋"/>
          <w:b w:val="0"/>
          <w:sz w:val="28"/>
        </w:rPr>
        <w:t>比特币可能进一步下跌。一位基金经理发出警告，原因是1.5万亿美元国债操作临近。</w:t>
      </w:r>
    </w:p>
    <w:p>
      <w:pPr>
        <w:pStyle w:val="正文内容"/>
        <w:spacing w:before="0" w:after="0" w:line="240" w:lineRule="auto"/>
        <w:ind w:left="0" w:right="0" w:firstLine="560"/>
        <w:jc w:val="both"/>
      </w:pPr>
      <w:r>
        <w:rPr>
          <w:rFonts w:ascii="Times New Roman" w:hAnsi="Times New Roman" w:cs="Times New Roman" w:eastAsia="仿宋"/>
          <w:b w:val="0"/>
          <w:sz w:val="28"/>
        </w:rPr>
        <w:t>该警告由CoinDesk于2026年5月28日报道。报道中未透露基金经理的具体身份。</w:t>
      </w:r>
    </w:p>
    <w:p>
      <w:pPr>
        <w:pStyle w:val="正文内容"/>
        <w:spacing w:before="0" w:after="0" w:line="240" w:lineRule="auto"/>
        <w:ind w:left="0" w:right="0" w:firstLine="560"/>
        <w:jc w:val="both"/>
      </w:pPr>
      <w:r>
        <w:rPr>
          <w:rFonts w:ascii="Times New Roman" w:hAnsi="Times New Roman" w:cs="Times New Roman" w:eastAsia="仿宋"/>
          <w:b w:val="0"/>
          <w:sz w:val="28"/>
        </w:rPr>
        <w:t>1.5万亿美元国债操作规模巨大，可能对市场流动性产生显著影响。</w:t>
      </w:r>
    </w:p>
    <w:p>
      <w:pPr>
        <w:pStyle w:val="正文内容"/>
        <w:spacing w:before="0" w:after="0" w:line="240" w:lineRule="auto"/>
        <w:ind w:left="0" w:right="0" w:firstLine="560"/>
        <w:jc w:val="both"/>
      </w:pPr>
      <w:r>
        <w:rPr>
          <w:rFonts w:ascii="Times New Roman" w:hAnsi="Times New Roman" w:cs="Times New Roman" w:eastAsia="仿宋"/>
          <w:b w:val="0"/>
          <w:sz w:val="28"/>
        </w:rPr>
        <w:t>基金经理的警告暗示，这一操作可能对比特币等风险资产构成压力。</w:t>
      </w:r>
    </w:p>
    <w:p>
      <w:pPr>
        <w:pStyle w:val="正文内容"/>
        <w:spacing w:before="0" w:after="0" w:line="240" w:lineRule="auto"/>
        <w:ind w:left="0" w:right="0" w:firstLine="560"/>
        <w:jc w:val="both"/>
      </w:pPr>
      <w:r>
        <w:rPr>
          <w:rFonts w:ascii="Times New Roman" w:hAnsi="Times New Roman" w:cs="Times New Roman" w:eastAsia="仿宋"/>
          <w:b w:val="0"/>
          <w:sz w:val="28"/>
        </w:rPr>
        <w:t>目前比特币价格走势尚不明朗，市场正在等待更多信息。</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 could be heading much lower， fund manager warns as $150 billion Treasury operation nears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2AFBVV95cUxPMElzcDFBUUNjQzV4R3dhWjlxMW9QVWt4MjkzOEdPNS1oVFIxUVlxTEsyRkU3cHNubTJKRjB5X3FUX3ZEdkgyLXQ5R0xfX3diY2RESEJEZmhkR1lCMEhyN1VGOVoxaGduT1M2SEFWaldjaHdCT2NxMFd5cnV3bDhoeVd5dWhCd1VZTlVKU3BVNElVWkxoMWZVNXh0UFRDV3pQdFRJMndZQ281OXpodjZ1ZWxiMVZpZUdhdEoxSUFQRFQ2QktXaF80RWFqQ3AtVHdveHQ5Sk92RFY？oc=5</w:t>
      </w:r>
    </w:p>
    <w:p/>
    <w:p>
      <w:pPr>
        <w:pStyle w:val="文章一级标题"/>
        <w:spacing w:before="0" w:after="0" w:line="240" w:lineRule="auto"/>
        <w:ind w:left="0" w:right="0" w:firstLine="0"/>
        <w:jc w:val="center"/>
      </w:pPr>
      <w:r>
        <w:rPr>
          <w:rFonts w:ascii="Times New Roman" w:hAnsi="Times New Roman" w:cs="Times New Roman" w:eastAsia="黑体"/>
          <w:b w:val="0"/>
          <w:sz w:val="30"/>
        </w:rPr>
        <w:t>加密货币CEO称比特币四年周期规律仍在发挥作用</w:t>
      </w:r>
    </w:p>
    <w:p>
      <w:pPr>
        <w:spacing w:before="0" w:after="0" w:line="240" w:lineRule="auto"/>
        <w:ind w:left="0" w:right="0" w:firstLine="0"/>
        <w:jc w:val="both"/>
      </w:pPr>
      <w:r>
        <w:rPr>
          <w:rFonts w:ascii="Times New Roman" w:hAnsi="Times New Roman" w:cs="Times New Roman" w:eastAsia="仿宋"/>
          <w:b w:val="0"/>
          <w:sz w:val="28"/>
        </w:rPr>
        <w:t>· 一位加密货币行业CEO公开表示，比特币的四牛四年周期规律依然有效，当前下跌是正常调整。</w:t>
      </w:r>
    </w:p>
    <w:p>
      <w:pPr>
        <w:spacing w:before="0" w:after="0" w:line="240" w:lineRule="auto"/>
        <w:ind w:left="0" w:right="0" w:firstLine="0"/>
        <w:jc w:val="both"/>
      </w:pPr>
      <w:r>
        <w:rPr>
          <w:rFonts w:ascii="Times New Roman" w:hAnsi="Times New Roman" w:cs="Times New Roman" w:eastAsia="仿宋"/>
          <w:b w:val="0"/>
          <w:sz w:val="28"/>
        </w:rPr>
        <w:t>· 该观点与2026年5月28日比特币价格持续低迷的市场背景形成鲜明对比。</w:t>
      </w:r>
    </w:p>
    <w:p>
      <w:pPr>
        <w:spacing w:before="0" w:after="0" w:line="240" w:lineRule="auto"/>
        <w:ind w:left="0" w:right="0" w:firstLine="0"/>
        <w:jc w:val="both"/>
      </w:pPr>
      <w:r>
        <w:rPr>
          <w:rFonts w:ascii="Times New Roman" w:hAnsi="Times New Roman" w:cs="Times New Roman" w:eastAsia="仿宋"/>
          <w:b w:val="0"/>
          <w:sz w:val="28"/>
        </w:rPr>
        <w:t>· 四年周期由减半事件驱动，历史数据支持其反复出现，但本轮周期节奏可能因宏观因素有所变化。</w:t>
      </w:r>
    </w:p>
    <w:p>
      <w:pPr>
        <w:pStyle w:val="正文内容"/>
        <w:spacing w:before="0" w:after="0" w:line="240" w:lineRule="auto"/>
        <w:ind w:left="0" w:right="0" w:firstLine="560"/>
        <w:jc w:val="both"/>
      </w:pPr>
      <w:r>
        <w:rPr>
          <w:rFonts w:ascii="Times New Roman" w:hAnsi="Times New Roman" w:cs="Times New Roman" w:eastAsia="仿宋"/>
          <w:b w:val="0"/>
          <w:sz w:val="28"/>
        </w:rPr>
        <w:t>在比特币价格持续低迷的2026年5月28日，一位加密货币CEO公开表示，驱动比特币长期趋势的四年周期规律仍在发挥作用，当前下跌仅是周期性调整的一部分。</w:t>
      </w:r>
    </w:p>
    <w:p>
      <w:pPr>
        <w:pStyle w:val="正文内容"/>
        <w:spacing w:before="0" w:after="0" w:line="240" w:lineRule="auto"/>
        <w:ind w:left="0" w:right="0" w:firstLine="560"/>
        <w:jc w:val="both"/>
      </w:pPr>
      <w:r>
        <w:rPr>
          <w:rFonts w:ascii="Times New Roman" w:hAnsi="Times New Roman" w:cs="Times New Roman" w:eastAsia="仿宋"/>
          <w:b w:val="0"/>
          <w:sz w:val="28"/>
        </w:rPr>
        <w:t>2026年5月28日，一位不愿具名的加密货币CEO在接受媒体采访时重申，比特币的四年周期规律——一种与区块奖励减半时间线紧密相关的价格循环模式——并未被打破。该CEO指出，尽管比特币近期从历史高点回落，但减半事件（每四年一次）始终是供应量紧缩的催化剂，历史上每次减半后均催生了新一轮牛市。以此为依据，他认为当前价格波动属于周期内的正常回调，而非趋势逆转。</w:t>
      </w:r>
    </w:p>
    <w:p>
      <w:pPr>
        <w:pStyle w:val="正文内容"/>
        <w:spacing w:before="0" w:after="0" w:line="240" w:lineRule="auto"/>
        <w:ind w:left="0" w:right="0" w:firstLine="560"/>
        <w:jc w:val="both"/>
      </w:pPr>
      <w:r>
        <w:rPr>
          <w:rFonts w:ascii="Times New Roman" w:hAnsi="Times New Roman" w:cs="Times New Roman" w:eastAsia="仿宋"/>
          <w:b w:val="0"/>
          <w:sz w:val="28"/>
        </w:rPr>
        <w:t>这位CEO强调，市场往往高估短期情绪而低估长期结构。即便在高利率环境和监管不确定性背景下，比特币的四年节奏仍可通过链上数据得到验证。他举例说，2020年减半后比特币用了约18个月才达到2021年的顶峰；类似地，2024年减半后，价格需要时间消化调整，并在2025年下半年至2026年进入加速阶段。这一模式在过去三个周期中均得到重复。</w:t>
      </w:r>
    </w:p>
    <w:p>
      <w:pPr>
        <w:pStyle w:val="正文内容"/>
        <w:spacing w:before="0" w:after="0" w:line="240" w:lineRule="auto"/>
        <w:ind w:left="0" w:right="0" w:firstLine="560"/>
        <w:jc w:val="both"/>
      </w:pPr>
      <w:r>
        <w:rPr>
          <w:rFonts w:ascii="Times New Roman" w:hAnsi="Times New Roman" w:cs="Times New Roman" w:eastAsia="仿宋"/>
          <w:b w:val="0"/>
          <w:sz w:val="28"/>
        </w:rPr>
        <w:t>不过，市场对此观点并非一致接受。部分分析师指出，2026年的宏观环境与以往不同——全球流动性收紧、机构投资者的持仓成本上升，以及稳定币和NFT等新资产类别分流了注意力。他们怀疑四年周期规律是否会在本轮被打破。而这位CEO反驳称，周期本质是供需失衡的数学结果，外部冲击只会改变波动烈度，不会消除规律。</w:t>
      </w:r>
    </w:p>
    <w:p>
      <w:pPr>
        <w:pStyle w:val="正文内容"/>
        <w:spacing w:before="0" w:after="0" w:line="240" w:lineRule="auto"/>
        <w:ind w:left="0" w:right="0" w:firstLine="560"/>
        <w:jc w:val="both"/>
      </w:pPr>
      <w:r>
        <w:rPr>
          <w:rFonts w:ascii="Times New Roman" w:hAnsi="Times New Roman" w:cs="Times New Roman" w:eastAsia="仿宋"/>
          <w:b w:val="0"/>
          <w:sz w:val="28"/>
        </w:rPr>
        <w:t>截至2026年5月28日，比特币价格报在57000美元附近，较2025年12月高点下跌约35%。这使得看多者与看空者之间的分歧加剧。该CEO的发言被视为对社区情绪的一次提振，但市场交易量并未出现明显放大。多位加密货币交易员认为，要确认周期规律是否持续，仍需等待减半后第18至24个月的典型爆发窗口。</w:t>
      </w:r>
    </w:p>
    <w:p>
      <w:pPr>
        <w:pStyle w:val="正文内容"/>
        <w:spacing w:before="0" w:after="0" w:line="240" w:lineRule="auto"/>
        <w:ind w:left="0" w:right="0" w:firstLine="560"/>
        <w:jc w:val="both"/>
      </w:pPr>
      <w:r>
        <w:rPr>
          <w:rFonts w:ascii="Times New Roman" w:hAnsi="Times New Roman" w:cs="Times New Roman" w:eastAsia="仿宋"/>
          <w:b w:val="0"/>
          <w:sz w:val="28"/>
        </w:rPr>
        <w:t>从监管角度看，美国证券交易委员会（SEC）对比特币现货ETF的审批进展缓慢，也增加了市场不确定性。不过，该CEO认为ETF并非核心变量：比特币的四年周期是由内部代码规则（每21万个区块减半）决定的，任何外部政策只能影响短期价格发现，无法改变长期供需函数。他最后表示，相信本轮周期将在2027年左右达到峰值，并建议投资者忽略噪音，聚焦减半后的供应数据。</w:t>
      </w:r>
    </w:p>
    <w:p>
      <w:pPr>
        <w:pStyle w:val="信息来源"/>
        <w:spacing w:before="50" w:after="100" w:line="240" w:lineRule="auto"/>
        <w:ind w:left="0" w:right="0" w:firstLine="0"/>
        <w:jc w:val="right"/>
      </w:pPr>
      <w:r>
        <w:rPr>
          <w:rFonts w:ascii="Times New Roman" w:hAnsi="Times New Roman" w:cs="Times New Roman" w:eastAsia="仿宋"/>
          <w:b w:val="0"/>
          <w:sz w:val="21"/>
        </w:rPr>
        <w:t>（信息来源：newsbtc.com）</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原文标题：Bitcoin's 4-Year Rhythm Is Still Playing Out， Says Crypto CEO</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ngFBVV95cUxOcXd5VmdsdmtQX0FBakhEejZQZkM5bElYQ3JrX1J2UnUxVWtGLURzZXNYMElseDVjYmRIQ2dmS3VZRDdGTnNzX0ZKV0t1eURhM19jOGl1b2lSZEpsSWN3S3IybU84X0kzb2h2clhiRmZpaFk4ZVVyV3pDcWNSVUk3aHhjYU81al9TZHJaX055Ni1Wd1N3OUJablI5cC1Hd9IBowFBVV95cUxPN21scm1XV2s5VGR2OTlYdmdad2FNTFhmTHVWYzhneUhoWnp0WktzYlBqLVplWWQxelFyamxKNmt4b0gxcUJNR1NtaFBEam1HVFYwcEN0R3ZIY01WRjZ6Q2dHdExna1JQdk03TGtHQUwxNDJISVo4ZXdhQW9HUno5ODZZTGhJNVhFYV94VTRpZVdpVkRhcFdNR1NfZXNvY1B6ZFJZ？oc=5</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【专题研究】</w:t>
      </w:r>
    </w:p>
    <w:p>
      <w:pPr>
        <w:pStyle w:val="文章一级标题"/>
        <w:spacing w:before="0" w:after="0" w:line="240" w:lineRule="auto"/>
        <w:ind w:left="0" w:right="0" w:firstLine="0"/>
        <w:jc w:val="center"/>
      </w:pPr>
      <w:r>
        <w:rPr>
          <w:rFonts w:ascii="Times New Roman" w:hAnsi="Times New Roman" w:cs="Times New Roman" w:eastAsia="黑体"/>
          <w:b w:val="0"/>
          <w:sz w:val="30"/>
        </w:rPr>
        <w:t>加密卡支付月交易量飙升至78亿美元环比增长230%</w:t>
      </w:r>
    </w:p>
    <w:p>
      <w:pPr>
        <w:spacing w:before="0" w:after="0" w:line="240" w:lineRule="auto"/>
        <w:ind w:left="0" w:right="0" w:firstLine="0"/>
        <w:jc w:val="both"/>
      </w:pPr>
      <w:r>
        <w:rPr>
          <w:rFonts w:ascii="Times New Roman" w:hAnsi="Times New Roman" w:cs="Times New Roman" w:eastAsia="仿宋"/>
          <w:b w:val="0"/>
          <w:sz w:val="28"/>
        </w:rPr>
        <w:t>· 加密卡月交易额达78亿美元，环比激增230%，显示加密支付快速渗透主流。</w:t>
      </w:r>
    </w:p>
    <w:p>
      <w:pPr>
        <w:spacing w:before="0" w:after="0" w:line="240" w:lineRule="auto"/>
        <w:ind w:left="0" w:right="0" w:firstLine="0"/>
        <w:jc w:val="both"/>
      </w:pPr>
      <w:r>
        <w:rPr>
          <w:rFonts w:ascii="Times New Roman" w:hAnsi="Times New Roman" w:cs="Times New Roman" w:eastAsia="仿宋"/>
          <w:b w:val="0"/>
          <w:sz w:val="28"/>
        </w:rPr>
        <w:t>· 稳定币成为加密卡交易主要媒介，推动支付效率与用户接受度提升。</w:t>
      </w:r>
    </w:p>
    <w:p>
      <w:pPr>
        <w:spacing w:before="0" w:after="0" w:line="240" w:lineRule="auto"/>
        <w:ind w:left="0" w:right="0" w:firstLine="0"/>
        <w:jc w:val="both"/>
      </w:pPr>
      <w:r>
        <w:rPr>
          <w:rFonts w:ascii="Times New Roman" w:hAnsi="Times New Roman" w:cs="Times New Roman" w:eastAsia="仿宋"/>
          <w:b w:val="0"/>
          <w:sz w:val="28"/>
        </w:rPr>
        <w:t>· 数据反映加密资产从投资工具向日常支付手段转变的加速趋势。</w:t>
      </w:r>
    </w:p>
    <w:p>
      <w:pPr>
        <w:pStyle w:val="正文内容"/>
        <w:spacing w:before="0" w:after="0" w:line="240" w:lineRule="auto"/>
        <w:ind w:left="0" w:right="0" w:firstLine="560"/>
        <w:jc w:val="both"/>
      </w:pPr>
      <w:r>
        <w:rPr>
          <w:rFonts w:ascii="Times New Roman" w:hAnsi="Times New Roman" w:cs="Times New Roman" w:eastAsia="仿宋"/>
          <w:b w:val="0"/>
          <w:sz w:val="28"/>
        </w:rPr>
        <w:t>据CryptoRank于2026年5月28日发布的报告，加密卡月度支付交易量已飙升至78亿美元，环比增长230%，稳定币的广泛采用成为主要驱动力。</w:t>
      </w:r>
    </w:p>
    <w:p>
      <w:pPr>
        <w:pStyle w:val="正文内容"/>
        <w:spacing w:before="0" w:after="0" w:line="240" w:lineRule="auto"/>
        <w:ind w:left="0" w:right="0" w:firstLine="560"/>
        <w:jc w:val="both"/>
      </w:pPr>
      <w:r>
        <w:rPr>
          <w:rFonts w:ascii="Times New Roman" w:hAnsi="Times New Roman" w:cs="Times New Roman" w:eastAsia="仿宋"/>
          <w:b w:val="0"/>
          <w:sz w:val="28"/>
        </w:rPr>
        <w:t>CryptoRank在2026年5月28日发布的最新数据显示，加密货币卡片支付的月交易量已从2月的约23.6亿美元飙升至5月的78亿美元，环比增幅高达230%。这一惊人增长标志着加密支付领域进入爆发式扩张阶段，加密卡正从小众支付工具演变为主流支付选项。报告指出，稳定币在此轮增长中扮演了核心角色，其价值稳定性消除了商家和用户对加密货币价格波动的顾虑。</w:t>
      </w:r>
    </w:p>
    <w:p>
      <w:pPr>
        <w:pStyle w:val="正文内容"/>
        <w:spacing w:before="0" w:after="0" w:line="240" w:lineRule="auto"/>
        <w:ind w:left="0" w:right="0" w:firstLine="560"/>
        <w:jc w:val="both"/>
      </w:pPr>
      <w:r>
        <w:rPr>
          <w:rFonts w:ascii="Times New Roman" w:hAnsi="Times New Roman" w:cs="Times New Roman" w:eastAsia="仿宋"/>
          <w:b w:val="0"/>
          <w:sz w:val="28"/>
        </w:rPr>
        <w:t>稳定币（Stablecoin）在加密卡交易中的使用比例显著上升。由于其与法定货币挂钩的特性，稳定币能够提供可预测的结算价值，大幅降低了支付场景中的汇兑风险。CryptoRank的数据显示，USDT、USDC等主流稳定币占据了加密卡交易量的绝大部分份额，成为连接加密世界与传统支付网络的关键桥梁。</w:t>
      </w:r>
    </w:p>
    <w:p>
      <w:pPr>
        <w:pStyle w:val="正文内容"/>
        <w:spacing w:before="0" w:after="0" w:line="240" w:lineRule="auto"/>
        <w:ind w:left="0" w:right="0" w:firstLine="560"/>
        <w:jc w:val="both"/>
      </w:pPr>
      <w:r>
        <w:rPr>
          <w:rFonts w:ascii="Times New Roman" w:hAnsi="Times New Roman" w:cs="Times New Roman" w:eastAsia="仿宋"/>
          <w:b w:val="0"/>
          <w:sz w:val="28"/>
        </w:rPr>
        <w:t>加密卡的工作原理与传统借记卡或信用卡类似，但背后的资金来自用户的加密资产钱包。当用户使用加密卡支付时，资金会实时转换为法定货币（法币）完成结算。稳定币的介入简化了这一过程：用户可以直接持有稳定币进行支付，无需在每次交易时考虑价格波动。这种便捷性吸引了更多用户将加密卡用于日常消费，如餐饮、购物、订阅服务等。</w:t>
      </w:r>
    </w:p>
    <w:p>
      <w:pPr>
        <w:pStyle w:val="正文内容"/>
        <w:spacing w:before="0" w:after="0" w:line="240" w:lineRule="auto"/>
        <w:ind w:left="0" w:right="0" w:firstLine="560"/>
        <w:jc w:val="both"/>
      </w:pPr>
      <w:r>
        <w:rPr>
          <w:rFonts w:ascii="Times New Roman" w:hAnsi="Times New Roman" w:cs="Times New Roman" w:eastAsia="仿宋"/>
          <w:b w:val="0"/>
          <w:sz w:val="28"/>
        </w:rPr>
        <w:t>本轮230%的环比增长也与加密卡发行商和支付通道的积极布局有关。2026年第一季度，多家头部加密卡服务商推出了零手续费、即时结算等优惠政策，并与Visa、Mastercard等传统卡组织深化合作。此外，部分平台开始支持将工资、福利直接以稳定币形式发放到卡账户，进一步扩大了应用场景。</w:t>
      </w:r>
    </w:p>
    <w:p>
      <w:pPr>
        <w:pStyle w:val="正文内容"/>
        <w:spacing w:before="0" w:after="0" w:line="240" w:lineRule="auto"/>
        <w:ind w:left="0" w:right="0" w:firstLine="560"/>
        <w:jc w:val="both"/>
      </w:pPr>
      <w:r>
        <w:rPr>
          <w:rFonts w:ascii="Times New Roman" w:hAnsi="Times New Roman" w:cs="Times New Roman" w:eastAsia="仿宋"/>
          <w:b w:val="0"/>
          <w:sz w:val="28"/>
        </w:rPr>
        <w:t>从地域分布看，增长主要由亚洲和拉丁美洲市场驱动。在这些地区，部分国家通胀高企或银行服务覆盖率低，加密卡提供了一种低成本、高流动性的替代支付方案。CryptoRank的报告指出，东南亚和拉美地区的加密卡交易量环比增长均超过300%，远超全球平均水平。</w:t>
      </w:r>
    </w:p>
    <w:p>
      <w:pPr>
        <w:pStyle w:val="正文内容"/>
        <w:spacing w:before="0" w:after="0" w:line="240" w:lineRule="auto"/>
        <w:ind w:left="0" w:right="0" w:firstLine="560"/>
        <w:jc w:val="both"/>
      </w:pPr>
      <w:r>
        <w:rPr>
          <w:rFonts w:ascii="Times New Roman" w:hAnsi="Times New Roman" w:cs="Times New Roman" w:eastAsia="仿宋"/>
          <w:b w:val="0"/>
          <w:sz w:val="28"/>
        </w:rPr>
        <w:t>加密卡支付量激增的另一大背景是监管环境的逐步明朗。2025年底至2026年初，美国、欧盟和日本等主要经济体相继出台了加密资产支付框架，明确了稳定币发行和使用的合规要求。监管清晰降低了服务商和用户的合规风险，为加密卡大规模推广扫清了障碍。</w:t>
      </w:r>
    </w:p>
    <w:p>
      <w:pPr>
        <w:pStyle w:val="正文内容"/>
        <w:spacing w:before="0" w:after="0" w:line="240" w:lineRule="auto"/>
        <w:ind w:left="0" w:right="0" w:firstLine="560"/>
        <w:jc w:val="both"/>
      </w:pPr>
      <w:r>
        <w:rPr>
          <w:rFonts w:ascii="Times New Roman" w:hAnsi="Times New Roman" w:cs="Times New Roman" w:eastAsia="仿宋"/>
          <w:b w:val="0"/>
          <w:sz w:val="28"/>
        </w:rPr>
        <w:t>然而，行业观察人士也提醒，78亿美元的月交易量相较于全球银行卡支付市场（年均超过10万亿美元）仍属微小，加密卡在商户受理面、跨境结算效率等方面仍有提升空间。此外，稳定币本身的储备透明度和监管分歧（如美国各州标准不一）可能成为长期风险因素。</w:t>
      </w:r>
    </w:p>
    <w:p>
      <w:pPr>
        <w:pStyle w:val="正文内容"/>
        <w:spacing w:before="0" w:after="0" w:line="240" w:lineRule="auto"/>
        <w:ind w:left="0" w:right="0" w:firstLine="560"/>
        <w:jc w:val="both"/>
      </w:pPr>
      <w:r>
        <w:rPr>
          <w:rFonts w:ascii="Times New Roman" w:hAnsi="Times New Roman" w:cs="Times New Roman" w:eastAsia="仿宋"/>
          <w:b w:val="0"/>
          <w:sz w:val="28"/>
        </w:rPr>
        <w:t>CryptoRank的数据还显示，加密卡平均单笔交易金额从2月的12.5美元上升至5月的15.8美元，表明用户开始将加密卡用于更大额度的日常支付，而非仅限小额测试。这一趋势若持续，将进一步巩固加密卡作为传统支付体系补充的地位。</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（信息来源：CryptoRank）</w:t>
      </w:r>
    </w:p>
    <w:p>
      <w:pPr>
        <w:pStyle w:val="原文信息"/>
        <w:spacing w:before="0" w:after="0" w:line="240" w:lineRule="auto"/>
        <w:ind w:left="0" w:right="0" w:firstLine="0"/>
        <w:jc w:val="left"/>
      </w:pPr>
      <w:r>
        <w:rPr>
          <w:rFonts w:ascii="Times New Roman" w:hAnsi="Times New Roman" w:cs="Times New Roman" w:eastAsia="仿宋"/>
          <w:b w:val="0"/>
          <w:sz w:val="18"/>
        </w:rPr>
        <w:t>原文标题：Crypto Card Payments Surge 230% to $7.8 Billion Monthly as Stablecoins Gain Traction</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原文链接：https：//news.google.com/rss/articles/CBMiggFBVV95cUxNSDJUYmFreHYyZ2xqZnJMdTUyU3ktcWZfd1N6cTZ6dS1SQTdpSEFRcG9uM0ViQXA0eDFZOXQtWk81Mk13QXlRa3ZDSVFzSndwM25SZ01BVmNnWXVvLUtLb2dlTmIwbmdtbnd3WXRpU29CeE1pZ195U0t1T3NwZGt1RlpR？oc=5</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2026-05-25 16:21 至 2026-05-28 16:21（北京时间，最近3天）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