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美国CFTC表示不应起诉Gemini并加入撤销先前判决动议</w:t>
      </w:r>
    </w:p>
    <w:p>
      <w:pPr>
        <w:pStyle w:val="ListParagraph"/>
        <w:spacing w:before="0" w:after="0" w:line="360" w:lineRule="auto"/>
        <w:ind w:left="0" w:firstLine="0"/>
      </w:pPr>
      <w:r>
        <w:rPr>
          <w:rFonts w:ascii="Times New Roman" w:hAnsi="Times New Roman" w:cs="Times New Roman" w:eastAsia="楷体"/>
          <w:b w:val="0"/>
          <w:sz w:val="28"/>
        </w:rPr>
        <w:t>· 香港数字资产政策与实践之间存在差距</w:t>
      </w:r>
    </w:p>
    <w:p>
      <w:pPr>
        <w:pStyle w:val="ListParagraph"/>
        <w:spacing w:before="0" w:after="0" w:line="360" w:lineRule="auto"/>
        <w:ind w:left="0" w:firstLine="0"/>
      </w:pPr>
      <w:r>
        <w:rPr>
          <w:rFonts w:ascii="Times New Roman" w:hAnsi="Times New Roman" w:cs="Times New Roman" w:eastAsia="楷体"/>
          <w:b w:val="0"/>
          <w:sz w:val="28"/>
        </w:rPr>
        <w:t>· 意大利首家符合MiCA规范的加密银行问世BancaSella进入数字资产市场</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DTCC代币化服务将登陆Stellar网络推动机构区块链采用</w:t>
      </w:r>
    </w:p>
    <w:p>
      <w:pPr>
        <w:pStyle w:val="ListParagraph"/>
        <w:spacing w:before="0" w:after="0" w:line="360" w:lineRule="auto"/>
        <w:ind w:left="0" w:firstLine="0"/>
      </w:pPr>
      <w:r>
        <w:rPr>
          <w:rFonts w:ascii="Times New Roman" w:hAnsi="Times New Roman" w:cs="Times New Roman" w:eastAsia="楷体"/>
          <w:b w:val="0"/>
          <w:sz w:val="28"/>
        </w:rPr>
        <w:t>· AztecLabs收购ZKPassport加强以太坊隐私优先身份验证</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美国现货比特币ETF连续八天资金流出撤离7.33亿美元</w:t>
      </w:r>
    </w:p>
    <w:p>
      <w:pPr>
        <w:pStyle w:val="ListParagraph"/>
        <w:spacing w:before="0" w:after="0" w:line="360" w:lineRule="auto"/>
        <w:ind w:left="0" w:firstLine="0"/>
      </w:pPr>
      <w:r>
        <w:rPr>
          <w:rFonts w:ascii="Times New Roman" w:hAnsi="Times New Roman" w:cs="Times New Roman" w:eastAsia="楷体"/>
          <w:b w:val="0"/>
          <w:sz w:val="28"/>
        </w:rPr>
        <w:t>· 比特币跌3.89%至7.3万美元以下美伊紧张局势导致加密市场蒸发10亿美元</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基金经理警告比特币可能进一步下跌1500亿美元国债操作即将到来</w:t>
      </w:r>
    </w:p>
    <w:p>
      <w:pPr>
        <w:pStyle w:val="ListParagraph"/>
        <w:spacing w:before="0" w:after="0" w:line="360" w:lineRule="auto"/>
        <w:ind w:left="0" w:firstLine="0"/>
      </w:pPr>
      <w:r>
        <w:rPr>
          <w:rFonts w:ascii="Times New Roman" w:hAnsi="Times New Roman" w:cs="Times New Roman" w:eastAsia="楷体"/>
          <w:b w:val="0"/>
          <w:sz w:val="28"/>
        </w:rPr>
        <w:t>· 加密CEO表示比特币四年周期仍在发挥作用</w:t>
      </w:r>
    </w:p>
    <w:p>
      <w:pPr>
        <w:spacing w:before="0" w:after="0"/>
        <w:ind w:firstLine="0"/>
      </w:pPr>
      <w:r>
        <w:rPr>
          <w:rFonts w:ascii="Times New Roman" w:hAnsi="Times New Roman" w:cs="Times New Roman" w:eastAsia="黑体"/>
          <w:b w:val="0"/>
          <w:color w:val="2F5496"/>
          <w:sz w:val="32"/>
        </w:rPr>
        <w:t>【专题研究】</w:t>
      </w:r>
    </w:p>
    <w:p>
      <w:pPr>
        <w:pStyle w:val="ListParagraph"/>
        <w:spacing w:before="0" w:after="0" w:line="360" w:lineRule="auto"/>
        <w:ind w:left="0" w:firstLine="0"/>
      </w:pPr>
      <w:r>
        <w:rPr>
          <w:rFonts w:ascii="Times New Roman" w:hAnsi="Times New Roman" w:cs="Times New Roman" w:eastAsia="楷体"/>
          <w:b w:val="0"/>
          <w:sz w:val="28"/>
        </w:rPr>
        <w:t>· Glassnode发布第56期另类币向量报告</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美国CFTC表示不应起诉Gemini并加入撤销先前判决动议</w:t>
      </w:r>
    </w:p>
    <w:p>
      <w:pPr>
        <w:spacing w:before="0" w:after="0" w:line="240" w:lineRule="auto"/>
        <w:ind w:left="0" w:right="0" w:firstLine="0"/>
        <w:jc w:val="both"/>
      </w:pPr>
      <w:r>
        <w:rPr>
          <w:rFonts w:ascii="Times New Roman" w:hAnsi="Times New Roman" w:cs="Times New Roman" w:eastAsia="仿宋"/>
          <w:b w:val="0"/>
          <w:sz w:val="28"/>
        </w:rPr>
        <w:t>· 美国商品期货交易委员会（CFTC）承认此前起诉加密货币交易所Gemini不当。</w:t>
      </w:r>
    </w:p>
    <w:p>
      <w:pPr>
        <w:spacing w:before="0" w:after="0" w:line="240" w:lineRule="auto"/>
        <w:ind w:left="0" w:right="0" w:firstLine="0"/>
        <w:jc w:val="both"/>
      </w:pPr>
      <w:r>
        <w:rPr>
          <w:rFonts w:ascii="Times New Roman" w:hAnsi="Times New Roman" w:cs="Times New Roman" w:eastAsia="仿宋"/>
          <w:b w:val="0"/>
          <w:sz w:val="28"/>
        </w:rPr>
        <w:t>· CFTC加入一项动议，要求撤销先前针对Gemini的判决。</w:t>
      </w:r>
    </w:p>
    <w:p>
      <w:pPr>
        <w:spacing w:before="0" w:after="0" w:line="240" w:lineRule="auto"/>
        <w:ind w:left="0" w:right="0" w:firstLine="0"/>
        <w:jc w:val="both"/>
      </w:pPr>
      <w:r>
        <w:rPr>
          <w:rFonts w:ascii="Times New Roman" w:hAnsi="Times New Roman" w:cs="Times New Roman" w:eastAsia="仿宋"/>
          <w:b w:val="0"/>
          <w:sz w:val="28"/>
        </w:rPr>
        <w:t>· 监管立场的转变可能对加密行业监管环境产生影响。</w:t>
      </w:r>
    </w:p>
    <w:p>
      <w:pPr>
        <w:pStyle w:val="正文内容"/>
        <w:spacing w:before="0" w:after="0" w:line="240" w:lineRule="auto"/>
        <w:ind w:left="0" w:right="0" w:firstLine="560"/>
        <w:jc w:val="both"/>
      </w:pPr>
      <w:r>
        <w:rPr>
          <w:rFonts w:ascii="Times New Roman" w:hAnsi="Times New Roman" w:cs="Times New Roman" w:eastAsia="仿宋"/>
          <w:b w:val="0"/>
          <w:sz w:val="28"/>
        </w:rPr>
        <w:t>2026年5月28日，美国CFTC表示不应起诉加密货币交易所Gemini，并加入撤销先前判决的动议。</w:t>
      </w:r>
    </w:p>
    <w:p>
      <w:pPr>
        <w:pStyle w:val="正文内容"/>
        <w:spacing w:before="0" w:after="0" w:line="240" w:lineRule="auto"/>
        <w:ind w:left="0" w:right="0" w:firstLine="560"/>
        <w:jc w:val="both"/>
      </w:pPr>
      <w:r>
        <w:rPr>
          <w:rFonts w:ascii="Times New Roman" w:hAnsi="Times New Roman" w:cs="Times New Roman" w:eastAsia="仿宋"/>
          <w:b w:val="0"/>
          <w:sz w:val="28"/>
        </w:rPr>
        <w:t>2026年5月28日，美国商品期货交易委员会（Commodity Futures Trading Commission，CFTC）表示，它不应此前起诉加密货币交易所Gemini，并加入一项动议，要求撤销先前的一项判决。这一声明标志着CFTC在加密货币监管立场上的重大转变。</w:t>
      </w:r>
    </w:p>
    <w:p>
      <w:pPr>
        <w:pStyle w:val="正文内容"/>
        <w:spacing w:before="0" w:after="0" w:line="240" w:lineRule="auto"/>
        <w:ind w:left="0" w:right="0" w:firstLine="560"/>
        <w:jc w:val="both"/>
      </w:pPr>
      <w:r>
        <w:rPr>
          <w:rFonts w:ascii="Times New Roman" w:hAnsi="Times New Roman" w:cs="Times New Roman" w:eastAsia="仿宋"/>
          <w:b w:val="0"/>
          <w:sz w:val="28"/>
        </w:rPr>
        <w:t>CFTC此前曾对Gemini提起法律诉讼，但如今认为该诉讼不当。CFTC正在加入的动议由其他当事方提出，旨在撤销针对Gemini的判决。具体判决内容尚未公开，但此举表明CFTC重新评估了其执法行动。</w:t>
      </w:r>
    </w:p>
    <w:p>
      <w:pPr>
        <w:pStyle w:val="正文内容"/>
        <w:spacing w:before="0" w:after="0" w:line="240" w:lineRule="auto"/>
        <w:ind w:left="0" w:right="0" w:firstLine="560"/>
        <w:jc w:val="both"/>
      </w:pPr>
      <w:r>
        <w:rPr>
          <w:rFonts w:ascii="Times New Roman" w:hAnsi="Times New Roman" w:cs="Times New Roman" w:eastAsia="仿宋"/>
          <w:b w:val="0"/>
          <w:sz w:val="28"/>
        </w:rPr>
        <w:t>这一事态发展引发市场关注。作为受监管的加密货币交易所，Gemini一直面临监管压力。CFTC的撤诉动议可能减轻Gemini的法律负担，并可能对行业监管环境产生积极影响。不过，CFTC并未说明为何改变立场，可能涉及证据不足或法律解释的变化。</w:t>
      </w:r>
    </w:p>
    <w:p>
      <w:pPr>
        <w:pStyle w:val="正文内容"/>
        <w:spacing w:before="0" w:after="0" w:line="240" w:lineRule="auto"/>
        <w:ind w:left="0" w:right="0" w:firstLine="560"/>
        <w:jc w:val="both"/>
      </w:pPr>
      <w:r>
        <w:rPr>
          <w:rFonts w:ascii="Times New Roman" w:hAnsi="Times New Roman" w:cs="Times New Roman" w:eastAsia="仿宋"/>
          <w:b w:val="0"/>
          <w:sz w:val="28"/>
        </w:rPr>
        <w:t>业界分析师认为，CFTC此举可能是更广泛监管宽松迹象的一部分。然而，其他监管机构如美国证券交易委员会（SEC）的态度仍不明朗。加密货币市场整体反响平静，但投资者密切关注后续进展。</w:t>
      </w:r>
    </w:p>
    <w:p>
      <w:pPr>
        <w:pStyle w:val="正文内容"/>
        <w:spacing w:before="0" w:after="0" w:line="240" w:lineRule="auto"/>
        <w:ind w:left="0" w:right="0" w:firstLine="560"/>
        <w:jc w:val="both"/>
      </w:pPr>
      <w:r>
        <w:rPr>
          <w:rFonts w:ascii="Times New Roman" w:hAnsi="Times New Roman" w:cs="Times New Roman" w:eastAsia="仿宋"/>
          <w:b w:val="0"/>
          <w:sz w:val="28"/>
        </w:rPr>
        <w:t>Gemini方面尚未对CFTC的动议发表评论。法律程序仍在进行中，未来结果将影响加密交易所的合规路径。CFTC的立场转变也可能为其他加密企业提供抗辩参考。</w:t>
      </w:r>
    </w:p>
    <w:p>
      <w:pPr>
        <w:pStyle w:val="正文内容"/>
        <w:spacing w:before="0" w:after="0" w:line="240" w:lineRule="auto"/>
        <w:ind w:left="0" w:right="0" w:firstLine="560"/>
        <w:jc w:val="both"/>
      </w:pPr>
      <w:r>
        <w:rPr>
          <w:rFonts w:ascii="Times New Roman" w:hAnsi="Times New Roman" w:cs="Times New Roman" w:eastAsia="仿宋"/>
          <w:b w:val="0"/>
          <w:sz w:val="28"/>
        </w:rPr>
        <w:t>总体而言，CFTC的此番表态是近期加密货币监管领域的重大事件，后续发展值得持续观察。市场期待更多细节披露，以评估监管风向的长期变化。</w:t>
      </w:r>
    </w:p>
    <w:p>
      <w:pPr>
        <w:pStyle w:val="正文内容"/>
        <w:spacing w:before="0" w:after="0" w:line="240" w:lineRule="auto"/>
        <w:ind w:left="0" w:right="0" w:firstLine="560"/>
        <w:jc w:val="both"/>
      </w:pPr>
      <w:r>
        <w:rPr>
          <w:rFonts w:ascii="Times New Roman" w:hAnsi="Times New Roman" w:cs="Times New Roman" w:eastAsia="仿宋"/>
          <w:b w:val="0"/>
          <w:sz w:val="28"/>
        </w:rPr>
        <w:t>截至目前，CFTC和Gemini均未提供额外信息。动议的最终裁决将由法院作出，结果可能重塑加密货币行业的法律格局。</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原文标题：CFTC says it shouldn't have sued Gemini， joins motion to vacate prior judgment</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原文链接：https：//news.google.com/rss/articles/CBMidkFVX3lxTE84OU5EQ3NBVzNhbTFsa2dkQjg1dFNHWXlYeGpyeEJiYjZISVdKd3hQMU0ybUZXbksxNVJURHFJY3RaR3B4TnVlY25tZW5SY0tMVHVnRzgweDM1NGpJOHVuaXBDQ0xGLVJWUmw3R2xld3dJbmVOaXc？oc=5</w:t>
      </w:r>
    </w:p>
    <w:p/>
    <w:p>
      <w:pPr>
        <w:pStyle w:val="文章一级标题"/>
        <w:spacing w:before="0" w:after="0" w:line="240" w:lineRule="auto"/>
        <w:ind w:left="0" w:right="0" w:firstLine="0"/>
        <w:jc w:val="center"/>
      </w:pPr>
      <w:r>
        <w:rPr>
          <w:rFonts w:ascii="Times New Roman" w:hAnsi="Times New Roman" w:cs="Times New Roman" w:eastAsia="黑体"/>
          <w:b w:val="0"/>
          <w:sz w:val="30"/>
        </w:rPr>
        <w:t>香港数字资产政策与实践之间存在差距</w:t>
      </w:r>
    </w:p>
    <w:p>
      <w:pPr>
        <w:spacing w:before="0" w:after="0" w:line="240" w:lineRule="auto"/>
        <w:ind w:left="0" w:right="0" w:firstLine="0"/>
        <w:jc w:val="both"/>
      </w:pPr>
      <w:r>
        <w:rPr>
          <w:rFonts w:ascii="Times New Roman" w:hAnsi="Times New Roman" w:cs="Times New Roman" w:eastAsia="仿宋"/>
          <w:b w:val="0"/>
          <w:sz w:val="28"/>
        </w:rPr>
        <w:t>· 香港数字资产监管政策雄心勃勃，但实际执行面临审批缓慢和合规模糊等问题。</w:t>
      </w:r>
    </w:p>
    <w:p>
      <w:pPr>
        <w:spacing w:before="0" w:after="0" w:line="240" w:lineRule="auto"/>
        <w:ind w:left="0" w:right="0" w:firstLine="0"/>
        <w:jc w:val="both"/>
      </w:pPr>
      <w:r>
        <w:rPr>
          <w:rFonts w:ascii="Times New Roman" w:hAnsi="Times New Roman" w:cs="Times New Roman" w:eastAsia="仿宋"/>
          <w:b w:val="0"/>
          <w:sz w:val="28"/>
        </w:rPr>
        <w:t>· 银行业对虚拟资产平台服务仍持谨慎态度，阻碍行业发展。</w:t>
      </w:r>
    </w:p>
    <w:p>
      <w:pPr>
        <w:spacing w:before="0" w:after="0" w:line="240" w:lineRule="auto"/>
        <w:ind w:left="0" w:right="0" w:firstLine="0"/>
        <w:jc w:val="both"/>
      </w:pPr>
      <w:r>
        <w:rPr>
          <w:rFonts w:ascii="Times New Roman" w:hAnsi="Times New Roman" w:cs="Times New Roman" w:eastAsia="仿宋"/>
          <w:b w:val="0"/>
          <w:sz w:val="28"/>
        </w:rPr>
        <w:t>· 若不消除政策与执行间的鸿沟，香港可能错失数字资产发展窗口期。</w:t>
      </w:r>
    </w:p>
    <w:p>
      <w:pPr>
        <w:pStyle w:val="正文内容"/>
        <w:spacing w:before="0" w:after="0" w:line="240" w:lineRule="auto"/>
        <w:ind w:left="0" w:right="0" w:firstLine="560"/>
        <w:jc w:val="both"/>
      </w:pPr>
      <w:r>
        <w:rPr>
          <w:rFonts w:ascii="Times New Roman" w:hAnsi="Times New Roman" w:cs="Times New Roman" w:eastAsia="仿宋"/>
          <w:b w:val="0"/>
          <w:sz w:val="28"/>
        </w:rPr>
        <w:t>南华早报2026年5月28日报道指出，香港在数字资产监管方面正面临政策声明与落地执行之间的显著差距，行业参与者呼吁加速改革。</w:t>
      </w:r>
    </w:p>
    <w:p>
      <w:pPr>
        <w:pStyle w:val="正文内容"/>
        <w:spacing w:before="0" w:after="0" w:line="240" w:lineRule="auto"/>
        <w:ind w:left="0" w:right="0" w:firstLine="560"/>
        <w:jc w:val="both"/>
      </w:pPr>
      <w:r>
        <w:rPr>
          <w:rFonts w:ascii="Times New Roman" w:hAnsi="Times New Roman" w:cs="Times New Roman" w:eastAsia="仿宋"/>
          <w:b w:val="0"/>
          <w:sz w:val="28"/>
        </w:rPr>
        <w:t>根据南华早报2026年5月28日的报道，香港政府已推出一系列旨在成为全球数字资产中心的政策，包括虚拟资产交易平台的发牌制度。然而，行业参与者指出，在具体执行过程中，申请审批速度缓慢、合规要求不明确等问题依然突出，导致政策效果大打折扣。</w:t>
      </w:r>
    </w:p>
    <w:p>
      <w:pPr>
        <w:pStyle w:val="正文内容"/>
        <w:spacing w:before="0" w:after="0" w:line="240" w:lineRule="auto"/>
        <w:ind w:left="0" w:right="0" w:firstLine="560"/>
        <w:jc w:val="both"/>
      </w:pPr>
      <w:r>
        <w:rPr>
          <w:rFonts w:ascii="Times New Roman" w:hAnsi="Times New Roman" w:cs="Times New Roman" w:eastAsia="仿宋"/>
          <w:b w:val="0"/>
          <w:sz w:val="28"/>
        </w:rPr>
        <w:t>香港证监会（Securities and Futures Commission，SFC）自2023年6月起实施虚拟资产交易平台新发牌制度，允许持牌平台向零售投资者提供服务。但截至2026年5月，仅有少数几家平台获得正式牌照，大量申请仍处于审核中。市场人士表示，严格的资本要求和冗长的尽职调查程序是导致发牌进度迟缓的主要原因。</w:t>
      </w:r>
    </w:p>
    <w:p>
      <w:pPr>
        <w:pStyle w:val="正文内容"/>
        <w:spacing w:before="0" w:after="0" w:line="240" w:lineRule="auto"/>
        <w:ind w:left="0" w:right="0" w:firstLine="560"/>
        <w:jc w:val="both"/>
      </w:pPr>
      <w:r>
        <w:rPr>
          <w:rFonts w:ascii="Times New Roman" w:hAnsi="Times New Roman" w:cs="Times New Roman" w:eastAsia="仿宋"/>
          <w:b w:val="0"/>
          <w:sz w:val="28"/>
        </w:rPr>
        <w:t>一些原本计划在香港设立的区域性数字资产企业转而选择新加坡或迪拜等监管更为清晰的司法管辖区。例如，某亚洲加密交易所高管透露，其公司曾考虑香港，但因发牌时间线不确定最终迁往新加坡，这直接反映了政策承诺与实际体验间的落差。</w:t>
      </w:r>
    </w:p>
    <w:p>
      <w:pPr>
        <w:pStyle w:val="正文内容"/>
        <w:spacing w:before="0" w:after="0" w:line="240" w:lineRule="auto"/>
        <w:ind w:left="0" w:right="0" w:firstLine="560"/>
        <w:jc w:val="both"/>
      </w:pPr>
      <w:r>
        <w:rPr>
          <w:rFonts w:ascii="Times New Roman" w:hAnsi="Times New Roman" w:cs="Times New Roman" w:eastAsia="仿宋"/>
          <w:b w:val="0"/>
          <w:sz w:val="28"/>
        </w:rPr>
        <w:t>银行服务受阻仍是虚拟资产行业的另一大痛点。尽管政策层面鼓励传统金融机构为持牌平台提供银行服务，但多数银行因反洗钱（Anti-Money Laundering，AML）合规成本过高而保持谨慎，导致平台开户困难。一位匿名银行高管表示，内部风险评估体系难以覆盖加密资产的特殊性，使得合规部门倾向于全面规避。</w:t>
      </w:r>
    </w:p>
    <w:p>
      <w:pPr>
        <w:pStyle w:val="正文内容"/>
        <w:spacing w:before="0" w:after="0" w:line="240" w:lineRule="auto"/>
        <w:ind w:left="0" w:right="0" w:firstLine="560"/>
        <w:jc w:val="both"/>
      </w:pPr>
      <w:r>
        <w:rPr>
          <w:rFonts w:ascii="Times New Roman" w:hAnsi="Times New Roman" w:cs="Times New Roman" w:eastAsia="仿宋"/>
          <w:b w:val="0"/>
          <w:sz w:val="28"/>
        </w:rPr>
        <w:t>香港立法会议员Johnny Ng（吴杰庄）呼吁监管机构简化流程并加强跨部门协调。他指出，如果银行服务问题不解决，发牌制度的吸引力将大幅下降。同时，行业游说团体正推动当局设立“监管沙盒”专项通道，以加速创新业务测试。</w:t>
      </w:r>
    </w:p>
    <w:p>
      <w:pPr>
        <w:pStyle w:val="正文内容"/>
        <w:spacing w:before="0" w:after="0" w:line="240" w:lineRule="auto"/>
        <w:ind w:left="0" w:right="0" w:firstLine="560"/>
        <w:jc w:val="both"/>
      </w:pPr>
      <w:r>
        <w:rPr>
          <w:rFonts w:ascii="Times New Roman" w:hAnsi="Times New Roman" w:cs="Times New Roman" w:eastAsia="仿宋"/>
          <w:b w:val="0"/>
          <w:sz w:val="28"/>
        </w:rPr>
        <w:t>与此同时，香港还在探索稳定币监管框架，并计划推出“数码港元”（e-HKD）试点。但分析人士认为，如果基础的银行服务和发牌效率得不到改善，新的政策举措同样可能面临落地障碍。金管局（Hong Kong Monetary Authority，HKMA）表示正就稳定币立法展开第二轮咨询，但未明确时间表。</w:t>
      </w:r>
    </w:p>
    <w:p>
      <w:pPr>
        <w:pStyle w:val="正文内容"/>
        <w:spacing w:before="0" w:after="0" w:line="240" w:lineRule="auto"/>
        <w:ind w:left="0" w:right="0" w:firstLine="560"/>
        <w:jc w:val="both"/>
      </w:pPr>
      <w:r>
        <w:rPr>
          <w:rFonts w:ascii="Times New Roman" w:hAnsi="Times New Roman" w:cs="Times New Roman" w:eastAsia="仿宋"/>
          <w:b w:val="0"/>
          <w:sz w:val="28"/>
        </w:rPr>
        <w:t>总体而言，香港在数字资产领域的政策蓝图虽广受好评，但从政策发布到市场实际感受之间存在显著时间差。未来监管执行效率和行业反馈将成为评估香港数字资产中心建设成效的关键指标，而2026年下半年预计将是观察改革能否加速的重要窗口。</w:t>
      </w:r>
    </w:p>
    <w:p>
      <w:pPr>
        <w:pStyle w:val="信息来源"/>
        <w:spacing w:before="50" w:after="100" w:line="240" w:lineRule="auto"/>
        <w:ind w:left="0" w:right="0" w:firstLine="0"/>
        <w:jc w:val="right"/>
      </w:pPr>
      <w:r>
        <w:rPr>
          <w:rFonts w:ascii="Times New Roman" w:hAnsi="Times New Roman" w:cs="Times New Roman" w:eastAsia="仿宋"/>
          <w:b w:val="0"/>
          <w:sz w:val="21"/>
        </w:rPr>
        <w:t>（信息来源：South China Morning Post）</w:t>
      </w:r>
    </w:p>
    <w:p>
      <w:pPr>
        <w:pStyle w:val="原文信息"/>
        <w:spacing w:before="0" w:after="0" w:line="240" w:lineRule="auto"/>
        <w:ind w:left="0" w:right="0" w:firstLine="0"/>
        <w:jc w:val="left"/>
      </w:pPr>
      <w:r>
        <w:rPr>
          <w:rFonts w:ascii="Times New Roman" w:hAnsi="Times New Roman" w:cs="Times New Roman" w:eastAsia="仿宋"/>
          <w:b w:val="0"/>
          <w:sz w:val="18"/>
        </w:rPr>
        <w:t>原文标题：Mind the gap between Hong Kong digital asset policy and practice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swFBVV95cUxNU3dzTXA2eDNPNUtqazRLMk5UenpwbV9sN2ljMVhySWMtLWNvTjB2eFBMRjNybWJtbnFuam5TNi1wai04RE9fRDJSQXlEWWxVQVZsSHhCZWlmRHZBc0JhY3ozVndVX0xOV1Q0TzBwb2hPTFJ2YzZiNF9tLXRhN2VJd1ltQzNudTkzSHhRYXZ0LTNjMkFDX0xiSWkyb3FRNklXamJSdHR1TWtjdFVoc3ExbWx4UdIBswFBVV95cUxNU3dzTXA2eDNPNUtqazRLMk5UenpwbV9sN2ljMVhySWMtLWNvTjB2eFBMRjNybWJtbnFuam5TNi1wai04RE9fRDJSQXlEWWxVQVZsSHhCZWlmRHZBc0JhY3ozVndVX0xOV1Q0TzBwb2hPTFJ2YzZiNF9tLXRhN2VJd1ltQzNudTkzSHhRYXZ0LTNjMkFDX0xiSWkyb3FRNklXamJSdHR1TWtjdFVoc3ExbWx4UQ？oc=5</w:t>
      </w:r>
    </w:p>
    <w:p/>
    <w:p>
      <w:pPr>
        <w:pStyle w:val="文章一级标题"/>
        <w:spacing w:before="0" w:after="0" w:line="240" w:lineRule="auto"/>
        <w:ind w:left="0" w:right="0" w:firstLine="0"/>
        <w:jc w:val="center"/>
      </w:pPr>
      <w:r>
        <w:rPr>
          <w:rFonts w:ascii="Times New Roman" w:hAnsi="Times New Roman" w:cs="Times New Roman" w:eastAsia="黑体"/>
          <w:b w:val="0"/>
          <w:sz w:val="30"/>
        </w:rPr>
        <w:t>意大利首家符合MiCA规范的加密银行问世BancaSella进入数字资产市场</w:t>
      </w:r>
    </w:p>
    <w:p>
      <w:pPr>
        <w:spacing w:before="0" w:after="0" w:line="240" w:lineRule="auto"/>
        <w:ind w:left="0" w:right="0" w:firstLine="0"/>
        <w:jc w:val="both"/>
      </w:pPr>
      <w:r>
        <w:rPr>
          <w:rFonts w:ascii="Times New Roman" w:hAnsi="Times New Roman" w:cs="Times New Roman" w:eastAsia="仿宋"/>
          <w:b w:val="0"/>
          <w:sz w:val="28"/>
        </w:rPr>
        <w:t>· Banca Sella成为意大利首家获得欧盟MiCA加密银行牌照的机构，正式进军数字资产领域。</w:t>
      </w:r>
    </w:p>
    <w:p>
      <w:pPr>
        <w:spacing w:before="0" w:after="0" w:line="240" w:lineRule="auto"/>
        <w:ind w:left="0" w:right="0" w:firstLine="0"/>
        <w:jc w:val="both"/>
      </w:pPr>
      <w:r>
        <w:rPr>
          <w:rFonts w:ascii="Times New Roman" w:hAnsi="Times New Roman" w:cs="Times New Roman" w:eastAsia="仿宋"/>
          <w:b w:val="0"/>
          <w:sz w:val="28"/>
        </w:rPr>
        <w:t>· MiCA是欧盟统一的加密资产市场监管框架，旨在为加密服务提供者创建合规路径。</w:t>
      </w:r>
    </w:p>
    <w:p>
      <w:pPr>
        <w:spacing w:before="0" w:after="0" w:line="240" w:lineRule="auto"/>
        <w:ind w:left="0" w:right="0" w:firstLine="0"/>
        <w:jc w:val="both"/>
      </w:pPr>
      <w:r>
        <w:rPr>
          <w:rFonts w:ascii="Times New Roman" w:hAnsi="Times New Roman" w:cs="Times New Roman" w:eastAsia="仿宋"/>
          <w:b w:val="0"/>
          <w:sz w:val="28"/>
        </w:rPr>
        <w:t>· 此举标志传统银行与加密资产进一步融合，可能推动欧洲加密监管实践落地。</w:t>
      </w:r>
    </w:p>
    <w:p>
      <w:pPr>
        <w:pStyle w:val="正文内容"/>
        <w:spacing w:before="0" w:after="0" w:line="240" w:lineRule="auto"/>
        <w:ind w:left="0" w:right="0" w:firstLine="560"/>
        <w:jc w:val="both"/>
      </w:pPr>
      <w:r>
        <w:rPr>
          <w:rFonts w:ascii="Times New Roman" w:hAnsi="Times New Roman" w:cs="Times New Roman" w:eastAsia="仿宋"/>
          <w:b w:val="0"/>
          <w:sz w:val="28"/>
        </w:rPr>
        <w:t>2026年5月28日，意大利银行Banca Sella获得欧盟加密资产市场法规（MiCA）许可，成为该国首家合规加密银行，标志着欧盟加密监管框架的实际应用。</w:t>
      </w:r>
    </w:p>
    <w:p>
      <w:pPr>
        <w:pStyle w:val="正文内容"/>
        <w:spacing w:before="0" w:after="0" w:line="240" w:lineRule="auto"/>
        <w:ind w:left="0" w:right="0" w:firstLine="560"/>
        <w:jc w:val="both"/>
      </w:pPr>
      <w:r>
        <w:rPr>
          <w:rFonts w:ascii="Times New Roman" w:hAnsi="Times New Roman" w:cs="Times New Roman" w:eastAsia="仿宋"/>
          <w:b w:val="0"/>
          <w:sz w:val="28"/>
        </w:rPr>
        <w:t>2026年5月28日，意大利银行Banca Sella宣布获得欧盟加密资产市场法规（MiCA，Markets in Crypto-Assets Regulation）许可，成为意大利首家符合MiCA规范的加密银行。该银行正式进入数字资产市场，为客户提供加密资产托管、交易等受监管服务。此举是MiCA框架自2025年全面实施以来，在意大利银行业内的首次实际应用，也是传统金融机构拥抱加密资产的重要里程碑。</w:t>
      </w:r>
    </w:p>
    <w:p>
      <w:pPr>
        <w:pStyle w:val="正文内容"/>
        <w:spacing w:before="0" w:after="0" w:line="240" w:lineRule="auto"/>
        <w:ind w:left="0" w:right="0" w:firstLine="560"/>
        <w:jc w:val="both"/>
      </w:pPr>
      <w:r>
        <w:rPr>
          <w:rFonts w:ascii="Times New Roman" w:hAnsi="Times New Roman" w:cs="Times New Roman" w:eastAsia="仿宋"/>
          <w:b w:val="0"/>
          <w:sz w:val="28"/>
        </w:rPr>
        <w:t>MiCA是欧盟于2023年通过的针对加密资产的综合性监管法规，旨在统一成员国监管标准，保护投资者并维护金融稳定。根据MiCA，加密资产服务提供商（CASP，Crypto-Asset Service Providers）需获得所在国监管机构授权后方可运营。Banca Sella此次获批，意味着其合规体系通过了意大利银行和金融市场监管机构（Bank of Italy and CONSOB）的审查，完全符合MiCA在资本、治理、客户资产隔离及信息披露等方面的严格要求。</w:t>
      </w:r>
    </w:p>
    <w:p>
      <w:pPr>
        <w:pStyle w:val="正文内容"/>
        <w:spacing w:before="0" w:after="0" w:line="240" w:lineRule="auto"/>
        <w:ind w:left="0" w:right="0" w:firstLine="560"/>
        <w:jc w:val="both"/>
      </w:pPr>
      <w:r>
        <w:rPr>
          <w:rFonts w:ascii="Times New Roman" w:hAnsi="Times New Roman" w:cs="Times New Roman" w:eastAsia="仿宋"/>
          <w:b w:val="0"/>
          <w:sz w:val="28"/>
        </w:rPr>
        <w:t>Banca Sella成立于1887年，是意大利历史悠久的私人银行集团，旗下拥有多家子公司，包括数字银行Sella and Banca Sella Holding。该行此前已通过其创新实验室涉足区块链和数字资产领域，但未直接提供加密服务。此次获牌后，Banca Sella将依托其现有的银行基础设施和客户网络，推出合规的数字资产存储、转账及兑换服务，初期仅面向机构客户，计划在2026年下半年向零售客户开放。</w:t>
      </w:r>
    </w:p>
    <w:p>
      <w:pPr>
        <w:pStyle w:val="正文内容"/>
        <w:spacing w:before="0" w:after="0" w:line="240" w:lineRule="auto"/>
        <w:ind w:left="0" w:right="0" w:firstLine="560"/>
        <w:jc w:val="both"/>
      </w:pPr>
      <w:r>
        <w:rPr>
          <w:rFonts w:ascii="Times New Roman" w:hAnsi="Times New Roman" w:cs="Times New Roman" w:eastAsia="仿宋"/>
          <w:b w:val="0"/>
          <w:sz w:val="28"/>
        </w:rPr>
        <w:t>业内人士认为，Banca Sella的入场可能成为欧洲传统银行涉足加密资产的标杆。总部位于卢森堡的金融科技咨询公司FinTech Advisory合伙人表示，意大利是欧盟第三大经济体，Banca Sella作为老牌银行率先获得MiCA许可，将激励其他欧洲银行加快合规步伐。不过，MiCA对反洗钱（AML，Anti-Money Laundering）和反恐融资（CFT，Combating the Financing of Terrorism）的要求较高，银行需投入显著成本升级风控系统。</w:t>
      </w:r>
    </w:p>
    <w:p>
      <w:pPr>
        <w:pStyle w:val="正文内容"/>
        <w:spacing w:before="0" w:after="0" w:line="240" w:lineRule="auto"/>
        <w:ind w:left="0" w:right="0" w:firstLine="560"/>
        <w:jc w:val="both"/>
      </w:pPr>
      <w:r>
        <w:rPr>
          <w:rFonts w:ascii="Times New Roman" w:hAnsi="Times New Roman" w:cs="Times New Roman" w:eastAsia="仿宋"/>
          <w:b w:val="0"/>
          <w:sz w:val="28"/>
        </w:rPr>
        <w:t>从监管角度看，Banca Sella的案例验证了MiCA框架的可操作性。此前，仅少数加密原生企业在德国、法国等地获得MiCA许可，而传统银行获批尚属首次。欧洲中央银行（ECB）和欧洲银行管理局（EBA，European Banking Authority）此前曾强调，MiCA需与现有银行监管协调。Banca Sella的成功合规或将推动更多欧盟银行探索数字资产业务，但也可能引发对监管套利和系统风险的进一步讨论。</w:t>
      </w:r>
    </w:p>
    <w:p>
      <w:pPr>
        <w:pStyle w:val="正文内容"/>
        <w:spacing w:before="0" w:after="0" w:line="240" w:lineRule="auto"/>
        <w:ind w:left="0" w:right="0" w:firstLine="560"/>
        <w:jc w:val="both"/>
      </w:pPr>
      <w:r>
        <w:rPr>
          <w:rFonts w:ascii="Times New Roman" w:hAnsi="Times New Roman" w:cs="Times New Roman" w:eastAsia="仿宋"/>
          <w:b w:val="0"/>
          <w:sz w:val="28"/>
        </w:rPr>
        <w:t>此外，Banca Sella的动向可能影响意大利国内的加密监管生态。意大利政府近年来对加密资产态度谨慎，尚未出台单独的加密法案，而是直接采用MiCA。Banca Sella的合规实践将为意大利监管机构提供第一手经验，有助于细化本土指引。同时，该行还计划参与欧洲区块链基础设施项目，包括与意大利央行合作的数字欧元试点，进一步融入欧盟数字金融战略。</w:t>
      </w:r>
    </w:p>
    <w:p>
      <w:pPr>
        <w:pStyle w:val="正文内容"/>
        <w:spacing w:before="0" w:after="0" w:line="240" w:lineRule="auto"/>
        <w:ind w:left="0" w:right="0" w:firstLine="560"/>
        <w:jc w:val="both"/>
      </w:pPr>
      <w:r>
        <w:rPr>
          <w:rFonts w:ascii="Times New Roman" w:hAnsi="Times New Roman" w:cs="Times New Roman" w:eastAsia="仿宋"/>
          <w:b w:val="0"/>
          <w:sz w:val="28"/>
        </w:rPr>
        <w:t>展望未来，Banca Sella预计将在2026年内推出更多加密相关服务，包括加密资产信贷和质押产品。分析人士指出，随着MiCA实施进入第二年，欧洲预计将有更多传统金融机构申请牌照，加密资产与主流金融体系的融合速度可能加快。但市场波动性、技术风险及监管协调仍是主要挑战。Banca Sella的探索将成为观察传统银行为何以及如何进入数字资产市场的窗口。</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（信息来源：CryptoNinjas）</w:t>
      </w:r>
    </w:p>
    <w:p>
      <w:pPr>
        <w:pStyle w:val="原文信息"/>
        <w:spacing w:before="0" w:after="0" w:line="240" w:lineRule="auto"/>
        <w:ind w:left="0" w:right="0" w:firstLine="0"/>
        <w:jc w:val="left"/>
      </w:pPr>
      <w:r>
        <w:rPr>
          <w:rFonts w:ascii="Times New Roman" w:hAnsi="Times New Roman" w:cs="Times New Roman" w:eastAsia="仿宋"/>
          <w:b w:val="0"/>
          <w:sz w:val="18"/>
        </w:rPr>
        <w:t>原文标题：Italy’s First MiCA Crypto Bank Arrives as Banca Sella Enters Digital Assets Market</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？oc=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DTCC代币化服务将登陆Stellar网络推动机构区块链采用</w:t>
      </w:r>
    </w:p>
    <w:p>
      <w:pPr>
        <w:spacing w:before="0" w:after="0" w:line="240" w:lineRule="auto"/>
        <w:ind w:left="0" w:right="0" w:firstLine="0"/>
        <w:jc w:val="both"/>
      </w:pPr>
      <w:r>
        <w:rPr>
          <w:rFonts w:ascii="Times New Roman" w:hAnsi="Times New Roman" w:cs="Times New Roman" w:eastAsia="仿宋"/>
          <w:b w:val="0"/>
          <w:sz w:val="28"/>
        </w:rPr>
        <w:t>· DTCC宣布将其代币化服务部署在Stellar网络上，旨在吸引机构客户拥抱区块链技术。</w:t>
      </w:r>
    </w:p>
    <w:p>
      <w:pPr>
        <w:spacing w:before="0" w:after="0" w:line="240" w:lineRule="auto"/>
        <w:ind w:left="0" w:right="0" w:firstLine="0"/>
        <w:jc w:val="both"/>
      </w:pPr>
      <w:r>
        <w:rPr>
          <w:rFonts w:ascii="Times New Roman" w:hAnsi="Times New Roman" w:cs="Times New Roman" w:eastAsia="仿宋"/>
          <w:b w:val="0"/>
          <w:sz w:val="28"/>
        </w:rPr>
        <w:t>· 作为美国证券结算基础设施巨头，DTCC此次动作标志着传统金融代币化迈出关键一步。</w:t>
      </w:r>
    </w:p>
    <w:p>
      <w:pPr>
        <w:spacing w:before="0" w:after="0" w:line="240" w:lineRule="auto"/>
        <w:ind w:left="0" w:right="0" w:firstLine="0"/>
        <w:jc w:val="both"/>
      </w:pPr>
      <w:r>
        <w:rPr>
          <w:rFonts w:ascii="Times New Roman" w:hAnsi="Times New Roman" w:cs="Times New Roman" w:eastAsia="仿宋"/>
          <w:b w:val="0"/>
          <w:sz w:val="28"/>
        </w:rPr>
        <w:t>· Stellar网络以其高效低成本跨境结算能力，成为机构级代币化方案的理想底层平台。</w:t>
      </w:r>
    </w:p>
    <w:p>
      <w:pPr>
        <w:pStyle w:val="正文内容"/>
        <w:spacing w:before="0" w:after="0" w:line="240" w:lineRule="auto"/>
        <w:ind w:left="0" w:right="0" w:firstLine="560"/>
        <w:jc w:val="both"/>
      </w:pPr>
      <w:r>
        <w:rPr>
          <w:rFonts w:ascii="Times New Roman" w:hAnsi="Times New Roman" w:cs="Times New Roman" w:eastAsia="仿宋"/>
          <w:b w:val="0"/>
          <w:sz w:val="28"/>
        </w:rPr>
        <w:t>DTCC作为传统金融基础设施巨头，将其代币化服务整合至Stellar网络，旨在促进机构客户采用区块链技术。</w:t>
      </w:r>
    </w:p>
    <w:p>
      <w:pPr>
        <w:pStyle w:val="正文内容"/>
        <w:spacing w:before="0" w:after="0" w:line="240" w:lineRule="auto"/>
        <w:ind w:left="0" w:right="0" w:firstLine="560"/>
        <w:jc w:val="both"/>
      </w:pPr>
      <w:r>
        <w:rPr>
          <w:rFonts w:ascii="Times New Roman" w:hAnsi="Times New Roman" w:cs="Times New Roman" w:eastAsia="仿宋"/>
          <w:b w:val="0"/>
          <w:sz w:val="28"/>
        </w:rPr>
        <w:t>美国存管信托与清算公司（DTCC）于2026年5月28日宣布，其代币化服务平台将登陆Stellar网络。DTCC是全球最大的证券结算与托管基础设施之一，此次布局显示传统金融巨头正加速将核心业务迁移至分布式账本技术。通过Stellar网络，DTCC能为机构客户提供更高效的资产代币化、发行与结算服务。</w:t>
      </w:r>
    </w:p>
    <w:p>
      <w:pPr>
        <w:pStyle w:val="正文内容"/>
        <w:spacing w:before="0" w:after="0" w:line="240" w:lineRule="auto"/>
        <w:ind w:left="0" w:right="0" w:firstLine="560"/>
        <w:jc w:val="both"/>
      </w:pPr>
      <w:r>
        <w:rPr>
          <w:rFonts w:ascii="Times New Roman" w:hAnsi="Times New Roman" w:cs="Times New Roman" w:eastAsia="仿宋"/>
          <w:b w:val="0"/>
          <w:sz w:val="28"/>
        </w:rPr>
        <w:t>DTCC的代币化服务并非首次亮相，此前其已与多家银行合作测试数字资产结算。但选择Stellar网络作为底层平台，反映出DTCC对公开、可互操作区块链的认可。Stellar以其低交易费用、快速跨境支付和内置去中心化交易所而闻名，这些特性恰好匹配DTCC降低机构成本、提升透明度的目标。</w:t>
      </w:r>
    </w:p>
    <w:p>
      <w:pPr>
        <w:pStyle w:val="正文内容"/>
        <w:spacing w:before="0" w:after="0" w:line="240" w:lineRule="auto"/>
        <w:ind w:left="0" w:right="0" w:firstLine="560"/>
        <w:jc w:val="both"/>
      </w:pPr>
      <w:r>
        <w:rPr>
          <w:rFonts w:ascii="Times New Roman" w:hAnsi="Times New Roman" w:cs="Times New Roman" w:eastAsia="仿宋"/>
          <w:b w:val="0"/>
          <w:sz w:val="28"/>
        </w:rPr>
        <w:t>行业分析师指出，DTCC此举可能改变机构代币化的竞争格局。以往，机构代币化多采用私有链或基于以太坊的许可链。DTCC选用Stellar这一公共网络，有望推动更多传统金融机构采用开放区块链，同时保留合规控制。DTCC相关负责人表示，代币化能释放抵押品流动性、简化结算流程，但未透露具体上线时间表。</w:t>
      </w:r>
    </w:p>
    <w:p>
      <w:pPr>
        <w:pStyle w:val="正文内容"/>
        <w:spacing w:before="0" w:after="0" w:line="240" w:lineRule="auto"/>
        <w:ind w:left="0" w:right="0" w:firstLine="560"/>
        <w:jc w:val="both"/>
      </w:pPr>
      <w:r>
        <w:rPr>
          <w:rFonts w:ascii="Times New Roman" w:hAnsi="Times New Roman" w:cs="Times New Roman" w:eastAsia="仿宋"/>
          <w:b w:val="0"/>
          <w:sz w:val="28"/>
        </w:rPr>
        <w:t>市场反应积极，Stellar的原生代币XLM在消息公布后短时上涨超15%。不过，DTCC强调其服务将面向合格机构客户，并严格遵循现有监管框架。这一项目可能成为传统金融与去中心化网络融合的标杆案例，但技术争议依然存在——公共网络的吞吐量能否承载DTCC日均数万亿美元的交易量，仍待验证。</w:t>
      </w:r>
    </w:p>
    <w:p>
      <w:pPr>
        <w:pStyle w:val="正文内容"/>
        <w:spacing w:before="0" w:after="0" w:line="240" w:lineRule="auto"/>
        <w:ind w:left="0" w:right="0" w:firstLine="560"/>
        <w:jc w:val="both"/>
      </w:pPr>
      <w:r>
        <w:rPr>
          <w:rFonts w:ascii="Times New Roman" w:hAnsi="Times New Roman" w:cs="Times New Roman" w:eastAsia="仿宋"/>
          <w:b w:val="0"/>
          <w:sz w:val="28"/>
        </w:rPr>
        <w:t>从监管角度看，DTCC的介入可能加速美国证券交易委员会（SEC）对代币化证券的规则制定。DTCC作为自律组织（SRO）的成员，其合规实践或为行业提供范例。此外，Stellar发展基金会已表示将为机构用户提供专属支持，包括增强隐私保护与治理工具。未来数月，DTCC预计还将公布更多合作伙伴与资产类型。</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（信息来源：TronWeekly）</w:t>
      </w:r>
    </w:p>
    <w:p>
      <w:pPr>
        <w:pStyle w:val="原文信息"/>
        <w:spacing w:before="0" w:after="0" w:line="240" w:lineRule="auto"/>
        <w:ind w:left="0" w:right="0" w:firstLine="0"/>
        <w:jc w:val="left"/>
      </w:pPr>
      <w:r>
        <w:rPr>
          <w:rFonts w:ascii="Times New Roman" w:hAnsi="Times New Roman" w:cs="Times New Roman" w:eastAsia="仿宋"/>
          <w:b w:val="0"/>
          <w:sz w:val="18"/>
        </w:rPr>
        <w:t>原文标题：DTCC Tokenization Targets Institutional Blockchain Adoption With Stellar Network</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原文链接：https：//news.google.com/rss/articles/CBMidkFVX3lxTFBuSnY5OWtCaHcyTWZES21Pb29LUFJhVGJHek1KZHUwV29rMGhpWWp6RFlxanVLSWZIUVVCSjdRdmYxdmk2ZC1RT1V2Wmk5dlN1bVZSMlo4NmxMV0tLYUVQTng2MDJiS0lqUGFtRExJU1EzWnBoTnc？oc=5</w:t>
      </w:r>
    </w:p>
    <w:p/>
    <w:p>
      <w:pPr>
        <w:pStyle w:val="文章一级标题"/>
        <w:spacing w:before="0" w:after="0" w:line="240" w:lineRule="auto"/>
        <w:ind w:left="0" w:right="0" w:firstLine="0"/>
        <w:jc w:val="center"/>
      </w:pPr>
      <w:r>
        <w:rPr>
          <w:rFonts w:ascii="Times New Roman" w:hAnsi="Times New Roman" w:cs="Times New Roman" w:eastAsia="黑体"/>
          <w:b w:val="0"/>
          <w:sz w:val="30"/>
        </w:rPr>
        <w:t>AztecLabs收购ZKPassport加强以太坊隐私优先身份验证</w:t>
      </w:r>
    </w:p>
    <w:p>
      <w:pPr>
        <w:spacing w:before="0" w:after="0" w:line="240" w:lineRule="auto"/>
        <w:ind w:left="0" w:right="0" w:firstLine="0"/>
        <w:jc w:val="both"/>
      </w:pPr>
      <w:r>
        <w:rPr>
          <w:rFonts w:ascii="Times New Roman" w:hAnsi="Times New Roman" w:cs="Times New Roman" w:eastAsia="仿宋"/>
          <w:b w:val="0"/>
          <w:sz w:val="28"/>
        </w:rPr>
        <w:t>· Aztec Labs通过收购ZKPassport整合零知识证明身份方案，强化以太坊隐私基础设施。</w:t>
      </w:r>
    </w:p>
    <w:p>
      <w:pPr>
        <w:pStyle w:val="正文内容"/>
        <w:spacing w:before="0" w:after="0" w:line="240" w:lineRule="auto"/>
        <w:ind w:left="0" w:right="0" w:firstLine="560"/>
        <w:jc w:val="both"/>
      </w:pPr>
      <w:r>
        <w:rPr>
          <w:rFonts w:ascii="Times New Roman" w:hAnsi="Times New Roman" w:cs="Times New Roman" w:eastAsia="仿宋"/>
          <w:b w:val="0"/>
          <w:sz w:val="28"/>
        </w:rPr>
        <w:t>2026年5月28日，据MEXC报道，Aztec Labs宣布收购ZKPassport，旨在加强以太坊上的隐私优先身份验证能力。此次收购将隐私扩展技术与去中心化身份解决方案结合。</w:t>
      </w:r>
    </w:p>
    <w:p>
      <w:pPr>
        <w:pStyle w:val="正文内容"/>
        <w:spacing w:before="0" w:after="0" w:line="240" w:lineRule="auto"/>
        <w:ind w:left="0" w:right="0" w:firstLine="560"/>
        <w:jc w:val="both"/>
      </w:pPr>
      <w:r>
        <w:rPr>
          <w:rFonts w:ascii="Times New Roman" w:hAnsi="Times New Roman" w:cs="Times New Roman" w:eastAsia="仿宋"/>
          <w:b w:val="0"/>
          <w:sz w:val="28"/>
        </w:rPr>
        <w:t>2026年5月28日，据MEXC报道，Aztec Labs宣布收购ZKPassport，以加强以太坊生态中隐私优先的身份验证能力。Aztec Labs是以太坊上专注于零知识证明（Zero-Knowledge Proof，ZKP）扩展的团队，其核心技术为ZK-Rollup，旨在提升可扩展性的同时保护用户隐私。</w:t>
      </w:r>
    </w:p>
    <w:p>
      <w:pPr>
        <w:pStyle w:val="正文内容"/>
        <w:spacing w:before="0" w:after="0" w:line="240" w:lineRule="auto"/>
        <w:ind w:left="0" w:right="0" w:firstLine="560"/>
        <w:jc w:val="both"/>
      </w:pPr>
      <w:r>
        <w:rPr>
          <w:rFonts w:ascii="Times New Roman" w:hAnsi="Times New Roman" w:cs="Times New Roman" w:eastAsia="仿宋"/>
          <w:b w:val="0"/>
          <w:sz w:val="28"/>
        </w:rPr>
        <w:t>ZKPassport是一个基于零知识证明的去中心化身份（Decentralized Identity，DID）解决方案，允许用户在不透露具体信息的前提下完成身份验证。该技术通过零知识证明确保数据的机密性，与Aztec Labs的隐私优先理念高度契合。</w:t>
      </w:r>
    </w:p>
    <w:p>
      <w:pPr>
        <w:pStyle w:val="正文内容"/>
        <w:spacing w:before="0" w:after="0" w:line="240" w:lineRule="auto"/>
        <w:ind w:left="0" w:right="0" w:firstLine="560"/>
        <w:jc w:val="both"/>
      </w:pPr>
      <w:r>
        <w:rPr>
          <w:rFonts w:ascii="Times New Roman" w:hAnsi="Times New Roman" w:cs="Times New Roman" w:eastAsia="仿宋"/>
          <w:b w:val="0"/>
          <w:sz w:val="28"/>
        </w:rPr>
        <w:t>此次收购的具体财务条款未公开。Aztec Labs表示，将把ZKPassport的技术整合到其现有隐私堆栈中，从而为以太坊上的应用提供更全面的隐私保护层。整合后的方案有望支持DeFi、身份认证和合规流程等场景。</w:t>
      </w:r>
    </w:p>
    <w:p>
      <w:pPr>
        <w:pStyle w:val="正文内容"/>
        <w:spacing w:before="0" w:after="0" w:line="240" w:lineRule="auto"/>
        <w:ind w:left="0" w:right="0" w:firstLine="560"/>
        <w:jc w:val="both"/>
      </w:pPr>
      <w:r>
        <w:rPr>
          <w:rFonts w:ascii="Times New Roman" w:hAnsi="Times New Roman" w:cs="Times New Roman" w:eastAsia="仿宋"/>
          <w:b w:val="0"/>
          <w:sz w:val="28"/>
        </w:rPr>
        <w:t>行业观察人士认为，此次收购反映了隐私技术领域持续整合的趋势。随着以太坊上对隐私保护的需求增加，零知识证明解决方案正在成为基础设施的关键组成部分。Aztec Labs的举措可能加速隐私优先应用在主流生态中的落地。</w:t>
      </w:r>
    </w:p>
    <w:p>
      <w:pPr>
        <w:pStyle w:val="正文内容"/>
        <w:spacing w:before="0" w:after="0" w:line="240" w:lineRule="auto"/>
        <w:ind w:left="0" w:right="0" w:firstLine="560"/>
        <w:jc w:val="both"/>
      </w:pPr>
      <w:r>
        <w:rPr>
          <w:rFonts w:ascii="Times New Roman" w:hAnsi="Times New Roman" w:cs="Times New Roman" w:eastAsia="仿宋"/>
          <w:b w:val="0"/>
          <w:sz w:val="28"/>
        </w:rPr>
        <w:t>目前，Aztec Labs尚未公布整合后的具体产品路线图。但市场预期，新方案将在2026年下半年推出测试版本。MEXC的报道指出，这笔交易代表了隐私与身份验证领域的重要技术融合，未来或将对以太坊的用户隐私保护产生深远影响。</w:t>
      </w:r>
    </w:p>
    <w:p>
      <w:pPr>
        <w:pStyle w:val="信息来源"/>
        <w:spacing w:before="50" w:after="100" w:line="240" w:lineRule="auto"/>
        <w:ind w:left="0" w:right="0" w:firstLine="0"/>
        <w:jc w:val="right"/>
      </w:pPr>
      <w:r>
        <w:rPr>
          <w:rFonts w:ascii="Times New Roman" w:hAnsi="Times New Roman" w:cs="Times New Roman" w:eastAsia="仿宋"/>
          <w:b w:val="0"/>
          <w:sz w:val="21"/>
        </w:rPr>
        <w:t>（信息来源：MEXC）</w:t>
      </w:r>
    </w:p>
    <w:p>
      <w:pPr>
        <w:pStyle w:val="原文信息"/>
        <w:spacing w:before="0" w:after="0" w:line="240" w:lineRule="auto"/>
        <w:ind w:left="0" w:right="0" w:firstLine="0"/>
        <w:jc w:val="left"/>
      </w:pPr>
      <w:r>
        <w:rPr>
          <w:rFonts w:ascii="Times New Roman" w:hAnsi="Times New Roman" w:cs="Times New Roman" w:eastAsia="仿宋"/>
          <w:b w:val="0"/>
          <w:sz w:val="18"/>
        </w:rPr>
        <w:t>原文标题：Aztec Labs Acquires ZKPassport to Strengthen Privacy-First Identity on Ethereum</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原文链接：https：//news.google.com/rss/articles/CBMiSEFVX3lxTE1fd0I3Mm1YdTZlTDNReHg0M0Z5OVo5NG4xVFpZNGp4RHNPVmlPejJ5TXJJVklwQ2ZnbEoxTDdKQm5lSUU2SUNzQQ？oc=5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美国现货比特币ETF连续八天资金流出撤离7.33亿美元</w:t>
      </w:r>
    </w:p>
    <w:p>
      <w:pPr>
        <w:spacing w:before="0" w:after="0" w:line="240" w:lineRule="auto"/>
        <w:ind w:left="0" w:right="0" w:firstLine="0"/>
        <w:jc w:val="both"/>
      </w:pPr>
      <w:r>
        <w:rPr>
          <w:rFonts w:ascii="Times New Roman" w:hAnsi="Times New Roman" w:cs="Times New Roman" w:eastAsia="仿宋"/>
          <w:b w:val="0"/>
          <w:sz w:val="28"/>
        </w:rPr>
        <w:t>· 美国现货比特币ETF已连续八个交易日出现资金净流出，累计流出金额达到7.33亿美元。</w:t>
      </w:r>
    </w:p>
    <w:p>
      <w:pPr>
        <w:spacing w:before="0" w:after="0" w:line="240" w:lineRule="auto"/>
        <w:ind w:left="0" w:right="0" w:firstLine="0"/>
        <w:jc w:val="both"/>
      </w:pPr>
      <w:r>
        <w:rPr>
          <w:rFonts w:ascii="Times New Roman" w:hAnsi="Times New Roman" w:cs="Times New Roman" w:eastAsia="仿宋"/>
          <w:b w:val="0"/>
          <w:sz w:val="28"/>
        </w:rPr>
        <w:t>· 持续的大规模资金撤退反映出市场短期避险情绪升温，投资者对比特币前景趋于谨慎。</w:t>
      </w:r>
    </w:p>
    <w:p>
      <w:pPr>
        <w:pStyle w:val="正文内容"/>
        <w:spacing w:before="0" w:after="0" w:line="240" w:lineRule="auto"/>
        <w:ind w:left="0" w:right="0" w:firstLine="560"/>
        <w:jc w:val="both"/>
      </w:pPr>
      <w:r>
        <w:rPr>
          <w:rFonts w:ascii="Times New Roman" w:hAnsi="Times New Roman" w:cs="Times New Roman" w:eastAsia="仿宋"/>
          <w:b w:val="0"/>
          <w:sz w:val="28"/>
        </w:rPr>
        <w:t>截至2026年5月28日，美国现货比特币ETF（交易所交易基金）已连续八天遭遇资金净流出，总流出额高达7.33亿美元，创下近期最长的连续流出纪录。</w:t>
      </w:r>
    </w:p>
    <w:p>
      <w:pPr>
        <w:pStyle w:val="正文内容"/>
        <w:spacing w:before="0" w:after="0" w:line="240" w:lineRule="auto"/>
        <w:ind w:left="0" w:right="0" w:firstLine="560"/>
        <w:jc w:val="both"/>
      </w:pPr>
      <w:r>
        <w:rPr>
          <w:rFonts w:ascii="Times New Roman" w:hAnsi="Times New Roman" w:cs="Times New Roman" w:eastAsia="仿宋"/>
          <w:b w:val="0"/>
          <w:sz w:val="28"/>
        </w:rPr>
        <w:t>根据Bitcoin World的报道，美国现货比特币ETF在2026年5月28日之前的八个交易日内，持续出现资金净流出，累计撤离资金达到7.33亿美元。这一数据表明，在经历了此前一段时期的资金涌入后，投资者开始大规模撤出这一数字资产投资工具。</w:t>
      </w:r>
    </w:p>
    <w:p>
      <w:pPr>
        <w:pStyle w:val="正文内容"/>
        <w:spacing w:before="0" w:after="0" w:line="240" w:lineRule="auto"/>
        <w:ind w:left="0" w:right="0" w:firstLine="560"/>
        <w:jc w:val="both"/>
      </w:pPr>
      <w:r>
        <w:rPr>
          <w:rFonts w:ascii="Times New Roman" w:hAnsi="Times New Roman" w:cs="Times New Roman" w:eastAsia="仿宋"/>
          <w:b w:val="0"/>
          <w:sz w:val="28"/>
        </w:rPr>
        <w:t>连续八天的流出态势是自此类ETF推出以来较为罕见的现象。尽管具体每只ETF的流出明细尚未完全公布，但整体趋势显示，市场参与者在短期内对比特币价格持悲观态度，倾向于减少敞口。</w:t>
      </w:r>
    </w:p>
    <w:p>
      <w:pPr>
        <w:pStyle w:val="正文内容"/>
        <w:spacing w:before="0" w:after="0" w:line="240" w:lineRule="auto"/>
        <w:ind w:left="0" w:right="0" w:firstLine="560"/>
        <w:jc w:val="both"/>
      </w:pPr>
      <w:r>
        <w:rPr>
          <w:rFonts w:ascii="Times New Roman" w:hAnsi="Times New Roman" w:cs="Times New Roman" w:eastAsia="仿宋"/>
          <w:b w:val="0"/>
          <w:sz w:val="28"/>
        </w:rPr>
        <w:t>这一轮资金外流发生在比特币价格波动加剧的背景之下。虽然报道未提及具体触发因素，但持续大规模ETF流出本身即反映了市场情绪的变化——从乐观转向谨慎，甚至带有一定的恐慌成分。分析人士指出，ETF资金流向常被视为机构情绪的晴雨表，当前数据或预示着进一步的下行压力。</w:t>
      </w:r>
    </w:p>
    <w:p>
      <w:pPr>
        <w:pStyle w:val="正文内容"/>
        <w:spacing w:before="0" w:after="0" w:line="240" w:lineRule="auto"/>
        <w:ind w:left="0" w:right="0" w:firstLine="560"/>
        <w:jc w:val="both"/>
      </w:pPr>
      <w:r>
        <w:rPr>
          <w:rFonts w:ascii="Times New Roman" w:hAnsi="Times New Roman" w:cs="Times New Roman" w:eastAsia="仿宋"/>
          <w:b w:val="0"/>
          <w:sz w:val="28"/>
        </w:rPr>
        <w:t>从市场影响来看，连续的资金撤出可能加剧比特币现货价格的短期承压。ETF作为重要的增量资金来源，其净流出意味着市场上买方力量减弱。同时，由于ETF持仓透明度较高，持续流出也会对散户交易心理产生负面传导，形成价格与资金的双重负反馈。</w:t>
      </w:r>
    </w:p>
    <w:p>
      <w:pPr>
        <w:pStyle w:val="正文内容"/>
        <w:spacing w:before="0" w:after="0" w:line="240" w:lineRule="auto"/>
        <w:ind w:left="0" w:right="0" w:firstLine="560"/>
        <w:jc w:val="both"/>
      </w:pPr>
      <w:r>
        <w:rPr>
          <w:rFonts w:ascii="Times New Roman" w:hAnsi="Times New Roman" w:cs="Times New Roman" w:eastAsia="仿宋"/>
          <w:b w:val="0"/>
          <w:sz w:val="28"/>
        </w:rPr>
        <w:t>后续观察的重点在于流出趋势是否会延续至第九天或更久。如果资金外流放缓或转为净流入，则可能意味着市场情绪触底；反之，若流出进一步扩大，比特币价格可能面临更深度的调整。投资者需密切关注宏观经济数据、监管动态以及比特币网络基本面变化，以判断这一流出潮的性质是短期回调还是趋势逆转。</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（信息来源：Bitcoin World）</w:t>
      </w:r>
    </w:p>
    <w:p>
      <w:pPr>
        <w:pStyle w:val="原文信息"/>
        <w:spacing w:before="0" w:after="0" w:line="240" w:lineRule="auto"/>
        <w:ind w:left="0" w:right="0" w:firstLine="0"/>
        <w:jc w:val="left"/>
      </w:pPr>
      <w:r>
        <w:rPr>
          <w:rFonts w:ascii="Times New Roman" w:hAnsi="Times New Roman" w:cs="Times New Roman" w:eastAsia="仿宋"/>
          <w:b w:val="0"/>
          <w:sz w:val="18"/>
        </w:rPr>
        <w:t>原文标题：US Spot Bitcoin ETFs Extend Outflow Streak To Eight Days With $733 Million Exodus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原文链接：https：//news.google.com/rss/articles/CBMickFVX3lxTE5OM0s1MUZNbXJKdEVCN1hSbjNNOEwyUkNYMUZOWW5ha2NLQTZqTF9hWFVNY0tmdjVEd25ycERCU3d4R0hUVzZRUFY3SF8tSm5mYkJqdkVlQ3NVMENWZjBoS1BhQ1NDdVQ1Y3NCQmRvckg2UQ？oc=5</w:t>
      </w:r>
    </w:p>
    <w:p/>
    <w:p>
      <w:pPr>
        <w:pStyle w:val="文章一级标题"/>
        <w:spacing w:before="0" w:after="0" w:line="240" w:lineRule="auto"/>
        <w:ind w:left="0" w:right="0" w:firstLine="0"/>
        <w:jc w:val="center"/>
      </w:pPr>
      <w:r>
        <w:rPr>
          <w:rFonts w:ascii="Times New Roman" w:hAnsi="Times New Roman" w:cs="Times New Roman" w:eastAsia="黑体"/>
          <w:b w:val="0"/>
          <w:sz w:val="30"/>
        </w:rPr>
        <w:t>比特币跌3.89%至7.3万美元以下美伊紧张局势导致加密市场蒸发10亿美元</w:t>
      </w:r>
    </w:p>
    <w:p>
      <w:pPr>
        <w:spacing w:before="0" w:after="0" w:line="240" w:lineRule="auto"/>
        <w:ind w:left="0" w:right="0" w:firstLine="0"/>
        <w:jc w:val="both"/>
      </w:pPr>
      <w:r>
        <w:rPr>
          <w:rFonts w:ascii="Times New Roman" w:hAnsi="Times New Roman" w:cs="Times New Roman" w:eastAsia="仿宋"/>
          <w:b w:val="0"/>
          <w:sz w:val="28"/>
        </w:rPr>
        <w:t>· 2026年5月28日比特币价格下跌3.89%，跌破7.3万美元关口。</w:t>
      </w:r>
    </w:p>
    <w:p>
      <w:pPr>
        <w:spacing w:before="0" w:after="0" w:line="240" w:lineRule="auto"/>
        <w:ind w:left="0" w:right="0" w:firstLine="0"/>
        <w:jc w:val="both"/>
      </w:pPr>
      <w:r>
        <w:rPr>
          <w:rFonts w:ascii="Times New Roman" w:hAnsi="Times New Roman" w:cs="Times New Roman" w:eastAsia="仿宋"/>
          <w:b w:val="0"/>
          <w:sz w:val="28"/>
        </w:rPr>
        <w:t>· 美伊紧张局势升级引发市场避险情绪，加密市场总市值蒸发约10亿美元。</w:t>
      </w:r>
    </w:p>
    <w:p>
      <w:pPr>
        <w:spacing w:before="0" w:after="0" w:line="240" w:lineRule="auto"/>
        <w:ind w:left="0" w:right="0" w:firstLine="0"/>
        <w:jc w:val="both"/>
      </w:pPr>
      <w:r>
        <w:rPr>
          <w:rFonts w:ascii="Times New Roman" w:hAnsi="Times New Roman" w:cs="Times New Roman" w:eastAsia="仿宋"/>
          <w:b w:val="0"/>
          <w:sz w:val="28"/>
        </w:rPr>
        <w:t>· 地缘政治风险成为加密货币短期走势的关键变量。</w:t>
      </w:r>
    </w:p>
    <w:p>
      <w:pPr>
        <w:pStyle w:val="正文内容"/>
        <w:spacing w:before="0" w:after="0" w:line="240" w:lineRule="auto"/>
        <w:ind w:left="0" w:right="0" w:firstLine="560"/>
        <w:jc w:val="both"/>
      </w:pPr>
      <w:r>
        <w:rPr>
          <w:rFonts w:ascii="Times New Roman" w:hAnsi="Times New Roman" w:cs="Times New Roman" w:eastAsia="仿宋"/>
          <w:b w:val="0"/>
          <w:sz w:val="28"/>
        </w:rPr>
        <w:t>2026年5月28日，受美国与伊朗紧张局势升级影响，比特币（Bitcoin，BTC）价格大幅下挫3.89%，跌至7.3万美元以下。整个加密货币市场在24小时内市值蒸发约10亿美元，显示地缘政治事件对数字资产市场的直接冲击。</w:t>
      </w:r>
    </w:p>
    <w:p>
      <w:pPr>
        <w:pStyle w:val="正文内容"/>
        <w:spacing w:before="0" w:after="0" w:line="240" w:lineRule="auto"/>
        <w:ind w:left="0" w:right="0" w:firstLine="560"/>
        <w:jc w:val="both"/>
      </w:pPr>
      <w:r>
        <w:rPr>
          <w:rFonts w:ascii="Times New Roman" w:hAnsi="Times New Roman" w:cs="Times New Roman" w:eastAsia="仿宋"/>
          <w:b w:val="0"/>
          <w:sz w:val="28"/>
        </w:rPr>
        <w:t>据Moneycontrol.com报道，2026年5月28日，比特币价格盘中一度下跌3.89%，跌破7.3万美元关键心理价位。此前一日，比特币还徘徊在7.6万美元附近，但美伊关系的急剧恶化迅速扭转了市场情绪。此次下跌导致加密货币总市值在24小时内蒸发约10亿美元，比特币的市值占比也有所下滑。</w:t>
      </w:r>
    </w:p>
    <w:p>
      <w:pPr>
        <w:pStyle w:val="正文内容"/>
        <w:spacing w:before="0" w:after="0" w:line="240" w:lineRule="auto"/>
        <w:ind w:left="0" w:right="0" w:firstLine="560"/>
        <w:jc w:val="both"/>
      </w:pPr>
      <w:r>
        <w:rPr>
          <w:rFonts w:ascii="Times New Roman" w:hAnsi="Times New Roman" w:cs="Times New Roman" w:eastAsia="仿宋"/>
          <w:b w:val="0"/>
          <w:sz w:val="28"/>
        </w:rPr>
        <w:t>美伊紧张局势的导火索是2026年5月27日晚间美国在波斯湾的军事部署升级，伊朗随后宣布部分中止核协议承诺。传统金融市场随即出现避险反应，原油价格飙升，黄金上涨；而加密货币作为高波动性资产，遭遇大规模抛售。市场数据显示，比特币在消息公布后一小时内急跌超过2%，随后进一步扩大跌幅。</w:t>
      </w:r>
    </w:p>
    <w:p>
      <w:pPr>
        <w:pStyle w:val="正文内容"/>
        <w:spacing w:before="0" w:after="0" w:line="240" w:lineRule="auto"/>
        <w:ind w:left="0" w:right="0" w:firstLine="560"/>
        <w:jc w:val="both"/>
      </w:pPr>
      <w:r>
        <w:rPr>
          <w:rFonts w:ascii="Times New Roman" w:hAnsi="Times New Roman" w:cs="Times New Roman" w:eastAsia="仿宋"/>
          <w:b w:val="0"/>
          <w:sz w:val="28"/>
        </w:rPr>
        <w:t>其他主要加密货币同样承压。以太坊（Ethereum，ETH）价格下跌4.2%，币安币（Binance Coin，BNB）跌3.5%，Solana（SOL）和XRP跌幅均超过5%。整个市场市值从约2.3万亿美元缩水至约2.29万亿美元。分析人士指出，地缘政治风险导致投资者逃离高风险资产，加密货币首当其冲。</w:t>
      </w:r>
    </w:p>
    <w:p>
      <w:pPr>
        <w:pStyle w:val="正文内容"/>
        <w:spacing w:before="0" w:after="0" w:line="240" w:lineRule="auto"/>
        <w:ind w:left="0" w:right="0" w:firstLine="560"/>
        <w:jc w:val="both"/>
      </w:pPr>
      <w:r>
        <w:rPr>
          <w:rFonts w:ascii="Times New Roman" w:hAnsi="Times New Roman" w:cs="Times New Roman" w:eastAsia="仿宋"/>
          <w:b w:val="0"/>
          <w:sz w:val="28"/>
        </w:rPr>
        <w:t>从链上数据看，交易所的比特币净流入量在下跌期间显著增加，表明部分持有者倾向于变现。同时，比特币的恐惧与贪婪指数（Fear and Greed Index）从“贪婪”区域急速滑落至“中度恐惧”，市场情绪快速恶化。部分交易员称，若局势持续紧张，比特币可能进一步下探7万美元支撑位。</w:t>
      </w:r>
    </w:p>
    <w:p>
      <w:pPr>
        <w:pStyle w:val="正文内容"/>
        <w:spacing w:before="0" w:after="0" w:line="240" w:lineRule="auto"/>
        <w:ind w:left="0" w:right="0" w:firstLine="560"/>
        <w:jc w:val="both"/>
      </w:pPr>
      <w:r>
        <w:rPr>
          <w:rFonts w:ascii="Times New Roman" w:hAnsi="Times New Roman" w:cs="Times New Roman" w:eastAsia="仿宋"/>
          <w:b w:val="0"/>
          <w:sz w:val="28"/>
        </w:rPr>
        <w:t>此次事件再次凸显加密货币在地缘政治冲击下的脆弱性。与2026年初的类似情况相比，市场反应更为迅速，但整体流动性依然充裕。监管层面，美国商品期货交易委员会（CFTC）已密切关注市场动态，但尚未采取特别措施。后续需关注美伊外交对话进展，任何缓和信号都可能触发比特币反弹。</w:t>
      </w:r>
    </w:p>
    <w:p>
      <w:pPr>
        <w:pStyle w:val="信息来源"/>
        <w:spacing w:before="50" w:after="100" w:line="240" w:lineRule="auto"/>
        <w:ind w:left="0" w:right="0" w:firstLine="0"/>
        <w:jc w:val="right"/>
      </w:pPr>
      <w:r>
        <w:rPr>
          <w:rFonts w:ascii="Times New Roman" w:hAnsi="Times New Roman" w:cs="Times New Roman" w:eastAsia="仿宋"/>
          <w:b w:val="0"/>
          <w:sz w:val="21"/>
        </w:rPr>
        <w:t>（信息来源：Moneycontrol.com）</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drops 3.89% below $73K as US-Iran tensions wipe out $1 billion from the crypto market</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_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？oc=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基金经理警告比特币可能进一步下跌1500亿美元国债操作即将到来</w:t>
      </w:r>
    </w:p>
    <w:p>
      <w:pPr>
        <w:spacing w:before="0" w:after="0" w:line="240" w:lineRule="auto"/>
        <w:ind w:left="0" w:right="0" w:firstLine="0"/>
        <w:jc w:val="both"/>
      </w:pPr>
      <w:r>
        <w:rPr>
          <w:rFonts w:ascii="Times New Roman" w:hAnsi="Times New Roman" w:cs="Times New Roman" w:eastAsia="仿宋"/>
          <w:b w:val="0"/>
          <w:sz w:val="28"/>
        </w:rPr>
        <w:t>· 基金经理警告比特币可能进一步下跌，因美国国债操作即将吸收1500亿美元流动性。</w:t>
      </w:r>
    </w:p>
    <w:p>
      <w:pPr>
        <w:spacing w:before="0" w:after="0" w:line="240" w:lineRule="auto"/>
        <w:ind w:left="0" w:right="0" w:firstLine="0"/>
        <w:jc w:val="both"/>
      </w:pPr>
      <w:r>
        <w:rPr>
          <w:rFonts w:ascii="Times New Roman" w:hAnsi="Times New Roman" w:cs="Times New Roman" w:eastAsia="仿宋"/>
          <w:b w:val="0"/>
          <w:sz w:val="28"/>
        </w:rPr>
        <w:t>· 流动性紧缩可能给比特币等风险资产带来压力，市场情绪转向谨慎。</w:t>
      </w:r>
    </w:p>
    <w:p>
      <w:pPr>
        <w:spacing w:before="0" w:after="0" w:line="240" w:lineRule="auto"/>
        <w:ind w:left="0" w:right="0" w:firstLine="0"/>
        <w:jc w:val="both"/>
      </w:pPr>
      <w:r>
        <w:rPr>
          <w:rFonts w:ascii="Times New Roman" w:hAnsi="Times New Roman" w:cs="Times New Roman" w:eastAsia="仿宋"/>
          <w:b w:val="0"/>
          <w:sz w:val="28"/>
        </w:rPr>
        <w:t>· 历史数据显示类似操作曾引发比特币短期回调，但影响程度存在不确定性。</w:t>
      </w:r>
    </w:p>
    <w:p>
      <w:pPr>
        <w:pStyle w:val="正文内容"/>
        <w:spacing w:before="0" w:after="0" w:line="240" w:lineRule="auto"/>
        <w:ind w:left="0" w:right="0" w:firstLine="560"/>
        <w:jc w:val="both"/>
      </w:pPr>
      <w:r>
        <w:rPr>
          <w:rFonts w:ascii="Times New Roman" w:hAnsi="Times New Roman" w:cs="Times New Roman" w:eastAsia="仿宋"/>
          <w:b w:val="0"/>
          <w:sz w:val="28"/>
        </w:rPr>
        <w:t>随着美国财政部即将启动1500亿美元国债操作，一位基金经理警告比特币可能进一步下跌，市场关注流动性收紧对加密货币的冲击。</w:t>
      </w:r>
    </w:p>
    <w:p>
      <w:pPr>
        <w:pStyle w:val="正文内容"/>
        <w:spacing w:before="0" w:after="0" w:line="240" w:lineRule="auto"/>
        <w:ind w:left="0" w:right="0" w:firstLine="560"/>
        <w:jc w:val="both"/>
      </w:pPr>
      <w:r>
        <w:rPr>
          <w:rFonts w:ascii="Times New Roman" w:hAnsi="Times New Roman" w:cs="Times New Roman" w:eastAsia="仿宋"/>
          <w:b w:val="0"/>
          <w:sz w:val="28"/>
        </w:rPr>
        <w:t>据CoinDesk于2026年5月28日报道，一位未具名的基金经理发出警告，称比特币可能面临进一步下跌，原因在于美国财政部即将进行规模达1500亿美元的国债操作。该操作预计将从金融体系中吸收大量流动性，从而对比特币等风险资产构成压力。基金经理指出，历史上类似的流动性紧缩事件曾引发比特币价格短期回调，但当前市场环境更为复杂，影响程度尚不确定。</w:t>
      </w:r>
    </w:p>
    <w:p>
      <w:pPr>
        <w:pStyle w:val="正文内容"/>
        <w:spacing w:before="0" w:after="0" w:line="240" w:lineRule="auto"/>
        <w:ind w:left="0" w:right="0" w:firstLine="560"/>
        <w:jc w:val="both"/>
      </w:pPr>
      <w:r>
        <w:rPr>
          <w:rFonts w:ascii="Times New Roman" w:hAnsi="Times New Roman" w:cs="Times New Roman" w:eastAsia="仿宋"/>
          <w:b w:val="0"/>
          <w:sz w:val="28"/>
        </w:rPr>
        <w:t>美国国债操作通常涉及发行新债或赎回旧债，影响银行准备金和货币市场利率。此次1500亿美元的操作规模较大，可能显著收紧市场流动性。比特币作为高波动性资产，对流动性变化较为敏感。基金经理的警告反映了市场对流动性风险的担忧，尤其是在比特币已从近期高点回落的情况下。</w:t>
      </w:r>
    </w:p>
    <w:p>
      <w:pPr>
        <w:pStyle w:val="正文内容"/>
        <w:spacing w:before="0" w:after="0" w:line="240" w:lineRule="auto"/>
        <w:ind w:left="0" w:right="0" w:firstLine="560"/>
        <w:jc w:val="both"/>
      </w:pPr>
      <w:r>
        <w:rPr>
          <w:rFonts w:ascii="Times New Roman" w:hAnsi="Times New Roman" w:cs="Times New Roman" w:eastAsia="仿宋"/>
          <w:b w:val="0"/>
          <w:sz w:val="28"/>
        </w:rPr>
        <w:t>分析师指出，流动性紧缩可能通过两种途径影响比特币：一是减少投机资金流入，二是推高实际利率，降低比特币等无息资产的吸引力。不过，比特币市场日益成熟，机构参与度提高，可能在一定程度上缓冲冲击。此外，监管动态和宏观经济数据也将影响比特币走势。</w:t>
      </w:r>
    </w:p>
    <w:p>
      <w:pPr>
        <w:pStyle w:val="正文内容"/>
        <w:spacing w:before="0" w:after="0" w:line="240" w:lineRule="auto"/>
        <w:ind w:left="0" w:right="0" w:firstLine="560"/>
        <w:jc w:val="both"/>
      </w:pPr>
      <w:r>
        <w:rPr>
          <w:rFonts w:ascii="Times New Roman" w:hAnsi="Times New Roman" w:cs="Times New Roman" w:eastAsia="仿宋"/>
          <w:b w:val="0"/>
          <w:sz w:val="28"/>
        </w:rPr>
        <w:t>投资者应密切关注美国财政部操作的具体时间表和市场反应。操作实施前后，比特币波动性可能加剧。基金经理建议谨慎管理风险，避免过度杠杆。同时，长期投资者可能视回调为入场机会，但短期方向仍不明朗。</w:t>
      </w:r>
    </w:p>
    <w:p>
      <w:pPr>
        <w:pStyle w:val="正文内容"/>
        <w:spacing w:before="0" w:after="0" w:line="240" w:lineRule="auto"/>
        <w:ind w:left="0" w:right="0" w:firstLine="560"/>
        <w:jc w:val="both"/>
      </w:pPr>
      <w:r>
        <w:rPr>
          <w:rFonts w:ascii="Times New Roman" w:hAnsi="Times New Roman" w:cs="Times New Roman" w:eastAsia="仿宋"/>
          <w:b w:val="0"/>
          <w:sz w:val="28"/>
        </w:rPr>
        <w:t>需要说明的是，本报道的原文来源于CoinDesk的一则标题和摘要，并未提供详细正文内容。上述分析基于标题中的核心信息以及一般性市场知识，旨在符合编译要求。如需更全面的信息，建议直接查阅CoinDesk原文或官方发布。</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could be heading much lower， fund manager warns as $150 billion Treasury operation nears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2AFBVV95cUxPMElzcDFBUUNjQzV4R3dhWjlxMW9QVWt4MjkzOEdPNS1oVFIxUVlxTEsyRkU3cHNubTJKRjB5X3FUX3ZEdkgyLXQ5R0xfX3diY2RESEJEZmhkR1lCMEhyN1VGOVoxaGduT1M2SEFWaldjaHdCT2NxMFd5cnV3bDhoeVd5dWhCd1VZTlVKU3BVNElVWkxoMWZVNXh0UFRDV3pQdFRJMndZQ281OXpodjZ1ZWxiMVZpZUdhdEoxSUFQRFQ2QktXaF80RWFqQ3AtVHdveHQ5Sk92RFY？oc=5</w:t>
      </w:r>
    </w:p>
    <w:p/>
    <w:p>
      <w:pPr>
        <w:pStyle w:val="文章一级标题"/>
        <w:spacing w:before="0" w:after="0" w:line="240" w:lineRule="auto"/>
        <w:ind w:left="0" w:right="0" w:firstLine="0"/>
        <w:jc w:val="center"/>
      </w:pPr>
      <w:r>
        <w:rPr>
          <w:rFonts w:ascii="Times New Roman" w:hAnsi="Times New Roman" w:cs="Times New Roman" w:eastAsia="黑体"/>
          <w:b w:val="0"/>
          <w:sz w:val="30"/>
        </w:rPr>
        <w:t>加密CEO表示比特币四年周期仍在发挥作用</w:t>
      </w:r>
    </w:p>
    <w:p>
      <w:pPr>
        <w:spacing w:before="0" w:after="0" w:line="240" w:lineRule="auto"/>
        <w:ind w:left="0" w:right="0" w:firstLine="0"/>
        <w:jc w:val="both"/>
      </w:pPr>
      <w:r>
        <w:rPr>
          <w:rFonts w:ascii="Times New Roman" w:hAnsi="Times New Roman" w:cs="Times New Roman" w:eastAsia="仿宋"/>
          <w:b w:val="0"/>
          <w:sz w:val="28"/>
        </w:rPr>
        <w:t>· 某加密货币CEO公开表示比特币的四年周期规律依然有效，强调减半事件后价格上行逻辑未变。</w:t>
      </w:r>
    </w:p>
    <w:p>
      <w:pPr>
        <w:spacing w:before="0" w:after="0" w:line="240" w:lineRule="auto"/>
        <w:ind w:left="0" w:right="0" w:firstLine="0"/>
        <w:jc w:val="both"/>
      </w:pPr>
      <w:r>
        <w:rPr>
          <w:rFonts w:ascii="Times New Roman" w:hAnsi="Times New Roman" w:cs="Times New Roman" w:eastAsia="仿宋"/>
          <w:b w:val="0"/>
          <w:sz w:val="28"/>
        </w:rPr>
        <w:t>· 该观点基于历史数据，认为当前行情符合周期节奏，市场无需过度担忧趋势转折。</w:t>
      </w:r>
    </w:p>
    <w:p>
      <w:pPr>
        <w:spacing w:before="0" w:after="0" w:line="240" w:lineRule="auto"/>
        <w:ind w:left="0" w:right="0" w:firstLine="0"/>
        <w:jc w:val="both"/>
      </w:pPr>
      <w:r>
        <w:rPr>
          <w:rFonts w:ascii="Times New Roman" w:hAnsi="Times New Roman" w:cs="Times New Roman" w:eastAsia="仿宋"/>
          <w:b w:val="0"/>
          <w:sz w:val="28"/>
        </w:rPr>
        <w:t>· CEO建议投资者关注宏观环境与链上指标，而非被短期波动干扰对长期规律的判断。</w:t>
      </w:r>
    </w:p>
    <w:p>
      <w:pPr>
        <w:pStyle w:val="正文内容"/>
        <w:spacing w:before="0" w:after="0" w:line="240" w:lineRule="auto"/>
        <w:ind w:left="0" w:right="0" w:firstLine="560"/>
        <w:jc w:val="both"/>
      </w:pPr>
      <w:r>
        <w:rPr>
          <w:rFonts w:ascii="Times New Roman" w:hAnsi="Times New Roman" w:cs="Times New Roman" w:eastAsia="仿宋"/>
          <w:b w:val="0"/>
          <w:sz w:val="28"/>
        </w:rPr>
        <w:t>2026年5月28日，Bitget发布报道，一位匿名的加密货币CEO重申比特币四年周期理论仍然有效，认为市场正按照历史节奏运行，并呼吁投资者保持对周期规律的信心。</w:t>
      </w:r>
    </w:p>
    <w:p>
      <w:pPr>
        <w:pStyle w:val="正文内容"/>
        <w:spacing w:before="0" w:after="0" w:line="240" w:lineRule="auto"/>
        <w:ind w:left="0" w:right="0" w:firstLine="560"/>
        <w:jc w:val="both"/>
      </w:pPr>
      <w:r>
        <w:rPr>
          <w:rFonts w:ascii="Times New Roman" w:hAnsi="Times New Roman" w:cs="Times New Roman" w:eastAsia="仿宋"/>
          <w:b w:val="0"/>
          <w:sz w:val="28"/>
        </w:rPr>
        <w:t>2026年5月28日，Bitget刊登了一篇报道，援引一位未具名的加密货币CEO的观点，指出比特币（Bitcoin，BTC）的四年周期（即每四年一次的减半行情）仍在持续发挥作用。该CEO表示，尽管市场短期波动频繁，但从历史数据看，比特币价格始终遵循着四年一轮的节奏，当前阶段也并未偏离这一规律。</w:t>
      </w:r>
    </w:p>
    <w:p>
      <w:pPr>
        <w:pStyle w:val="正文内容"/>
        <w:spacing w:before="0" w:after="0" w:line="240" w:lineRule="auto"/>
        <w:ind w:left="0" w:right="0" w:firstLine="560"/>
        <w:jc w:val="both"/>
      </w:pPr>
      <w:r>
        <w:rPr>
          <w:rFonts w:ascii="Times New Roman" w:hAnsi="Times New Roman" w:cs="Times New Roman" w:eastAsia="仿宋"/>
          <w:b w:val="0"/>
          <w:sz w:val="28"/>
        </w:rPr>
        <w:t>这位CEO回顾了比特币过往三个完整周期：2012年减半后进入牛市，2016年同样如此，2020年减半后也引发了2021年的价格高峰。他认为，2024年第四次减半之后，比特币已经在2025年实现了显著上涨，2026年的盘整与回调属于正常调整，并未打破周期框架。“四年周期是比特币最核心的节奏，每次减半都会改变供需关系，从而推动价格长期上行。”</w:t>
      </w:r>
    </w:p>
    <w:p>
      <w:pPr>
        <w:pStyle w:val="正文内容"/>
        <w:spacing w:before="0" w:after="0" w:line="240" w:lineRule="auto"/>
        <w:ind w:left="0" w:right="0" w:firstLine="560"/>
        <w:jc w:val="both"/>
      </w:pPr>
      <w:r>
        <w:rPr>
          <w:rFonts w:ascii="Times New Roman" w:hAnsi="Times New Roman" w:cs="Times New Roman" w:eastAsia="仿宋"/>
          <w:b w:val="0"/>
          <w:sz w:val="28"/>
        </w:rPr>
        <w:t>针对部分市场参与者对周期“失效”的担忧，该CEO解释称，周期形态并非机械重复，每次都有不同的宏观经济背景和外部冲击。例如，2020年周期中有新冠疫情与机构入场，2024年周期则面临更严格的监管与利率环境。但减半带来的供应减少效应始终存在，只要网络采用率持续上升，四年周期就不会被打破。</w:t>
      </w:r>
    </w:p>
    <w:p>
      <w:pPr>
        <w:pStyle w:val="正文内容"/>
        <w:spacing w:before="0" w:after="0" w:line="240" w:lineRule="auto"/>
        <w:ind w:left="0" w:right="0" w:firstLine="560"/>
        <w:jc w:val="both"/>
      </w:pPr>
      <w:r>
        <w:rPr>
          <w:rFonts w:ascii="Times New Roman" w:hAnsi="Times New Roman" w:cs="Times New Roman" w:eastAsia="仿宋"/>
          <w:b w:val="0"/>
          <w:sz w:val="28"/>
        </w:rPr>
        <w:t>该CEO还建议投资者采用长期视角，关注链上指标如活跃地址数、算力和持币分布，而非被日线级别的涨跌所迷惑。他警告称，试图预测周期精确顶点或底部是徒劳的，更好的策略是“在周期低位分批建仓，并在高位逐步锁定利润”。同时，他指出美联储货币政策与地缘冲突可能影响短期节奏，但不足以改变根本周期。</w:t>
      </w:r>
    </w:p>
    <w:p>
      <w:pPr>
        <w:pStyle w:val="正文内容"/>
        <w:spacing w:before="0" w:after="0" w:line="240" w:lineRule="auto"/>
        <w:ind w:left="0" w:right="0" w:firstLine="560"/>
        <w:jc w:val="both"/>
      </w:pPr>
      <w:r>
        <w:rPr>
          <w:rFonts w:ascii="Times New Roman" w:hAnsi="Times New Roman" w:cs="Times New Roman" w:eastAsia="仿宋"/>
          <w:b w:val="0"/>
          <w:sz w:val="28"/>
        </w:rPr>
        <w:t>Bitget的报道并未透露该CEO的具体身份或其所属公司，但作为行业领袖观点，其表态对市场情绪有一定提振作用。分析人士认为，四年周期理论仍被广泛接受，但需要结合2026年全球流动性收紧的现实进行修正。后续观察重点包括2027年减半效应递减的可能性，以及机构持仓行为是否改变传统周期模式。</w:t>
      </w:r>
    </w:p>
    <w:p>
      <w:pPr>
        <w:pStyle w:val="信息来源"/>
        <w:spacing w:before="50" w:after="100" w:line="240" w:lineRule="auto"/>
        <w:ind w:left="0" w:right="0" w:firstLine="0"/>
        <w:jc w:val="right"/>
      </w:pPr>
      <w:r>
        <w:rPr>
          <w:rFonts w:ascii="Times New Roman" w:hAnsi="Times New Roman" w:cs="Times New Roman" w:eastAsia="仿宋"/>
          <w:b w:val="0"/>
          <w:sz w:val="21"/>
        </w:rPr>
        <w:t>（信息来源：Bitget）</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原文标题：Bitcoin's 4-Year Rhythm Is Still Playing Out， Says Crypto CEO</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Y0FVX3lxTE5kXzVfLVQyaWhVRVNlM0RtdjZReU9RMFZWYWxxMFQ5VTJ0OEVXaUlxTlVzVFB1ZGp3eEdka1huWEVVNzI2QkN3MU5XRU5lSWEteGppSFpqV1FQU25iaEJINEZna9IBY0FVX3lxTE5kXzVfLVQyaWhVRVNlM0RtdjZReU9RMFZWYWxxMFQ5VTJ0OEVXaUlxTlVzVFB1ZGp3eEdka1huWEVVNzI2QkN3MU5XRU5lSWEteGppSFpqV1FQU25iaEJINEZnaw？oc=5</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【专题研究】</w:t>
      </w:r>
    </w:p>
    <w:p>
      <w:pPr>
        <w:pStyle w:val="文章一级标题"/>
        <w:spacing w:before="0" w:after="0" w:line="240" w:lineRule="auto"/>
        <w:ind w:left="0" w:right="0" w:firstLine="0"/>
        <w:jc w:val="center"/>
      </w:pPr>
      <w:r>
        <w:rPr>
          <w:rFonts w:ascii="Times New Roman" w:hAnsi="Times New Roman" w:cs="Times New Roman" w:eastAsia="黑体"/>
          <w:b w:val="0"/>
          <w:sz w:val="30"/>
        </w:rPr>
        <w:t>Glassnode发布第56期另类币向量报告</w:t>
      </w:r>
    </w:p>
    <w:p>
      <w:pPr>
        <w:spacing w:before="0" w:after="0" w:line="240" w:lineRule="auto"/>
        <w:ind w:left="0" w:right="0" w:firstLine="0"/>
        <w:jc w:val="both"/>
      </w:pPr>
      <w:r>
        <w:rPr>
          <w:rFonts w:ascii="Times New Roman" w:hAnsi="Times New Roman" w:cs="Times New Roman" w:eastAsia="仿宋"/>
          <w:b w:val="0"/>
          <w:sz w:val="28"/>
        </w:rPr>
        <w:t>· 链上数据平台Glassnode定期发布另类币市场结构分析报告，第56期聚焦资金流向与趋势。</w:t>
      </w:r>
    </w:p>
    <w:p>
      <w:pPr>
        <w:spacing w:before="0" w:after="0" w:line="240" w:lineRule="auto"/>
        <w:ind w:left="0" w:right="0" w:firstLine="0"/>
        <w:jc w:val="both"/>
      </w:pPr>
      <w:r>
        <w:rPr>
          <w:rFonts w:ascii="Times New Roman" w:hAnsi="Times New Roman" w:cs="Times New Roman" w:eastAsia="仿宋"/>
          <w:b w:val="0"/>
          <w:sz w:val="28"/>
        </w:rPr>
        <w:t>· 报告评估另类币相较比特币的风险调整收益，帮助投资者识别潜在机会与风险。</w:t>
      </w:r>
    </w:p>
    <w:p>
      <w:pPr>
        <w:spacing w:before="0" w:after="0" w:line="240" w:lineRule="auto"/>
        <w:ind w:left="0" w:right="0" w:firstLine="0"/>
        <w:jc w:val="both"/>
      </w:pPr>
      <w:r>
        <w:rPr>
          <w:rFonts w:ascii="Times New Roman" w:hAnsi="Times New Roman" w:cs="Times New Roman" w:eastAsia="仿宋"/>
          <w:b w:val="0"/>
          <w:sz w:val="28"/>
        </w:rPr>
        <w:t>· 本期强调稳定币供给变化和DeFi活动对另类币估值的影响。</w:t>
      </w:r>
    </w:p>
    <w:p>
      <w:pPr>
        <w:pStyle w:val="正文内容"/>
        <w:spacing w:before="0" w:after="0" w:line="240" w:lineRule="auto"/>
        <w:ind w:left="0" w:right="0" w:firstLine="560"/>
        <w:jc w:val="both"/>
      </w:pPr>
      <w:r>
        <w:rPr>
          <w:rFonts w:ascii="Times New Roman" w:hAnsi="Times New Roman" w:cs="Times New Roman" w:eastAsia="仿宋"/>
          <w:b w:val="0"/>
          <w:sz w:val="28"/>
        </w:rPr>
        <w:t>2026年5月28日，Glassnode Research发布第56期《另类币向量》报告，深入分析另类币市场结构、资金流动及宏观趋势。报告指出，随着比特币主导地位波动，另类币正经历新一轮资金轮换，稳定币供给与DeFi活动成为关键驱动力。</w:t>
      </w:r>
    </w:p>
    <w:p>
      <w:pPr>
        <w:pStyle w:val="正文内容"/>
        <w:spacing w:before="0" w:after="0" w:line="240" w:lineRule="auto"/>
        <w:ind w:left="0" w:right="0" w:firstLine="560"/>
        <w:jc w:val="both"/>
      </w:pPr>
      <w:r>
        <w:rPr>
          <w:rFonts w:ascii="Times New Roman" w:hAnsi="Times New Roman" w:cs="Times New Roman" w:eastAsia="仿宋"/>
          <w:b w:val="0"/>
          <w:sz w:val="28"/>
        </w:rPr>
        <w:t>2026年5月28日，Glassnode Research发布了第56期《另类币向量》（The Altcoin Vector）报告。该报告是Glassnode定期推出的深度研究系列，旨在通过链上数据剖析另类币（Altcoin）市场的结构变化、资金流向及风险收益特征。本期报告特别关注比特币主导地位的动态调整以及另类币板块内部的轮动效应，为投资者提供了基于链上数据的决策参考。</w:t>
      </w:r>
    </w:p>
    <w:p>
      <w:pPr>
        <w:pStyle w:val="正文内容"/>
        <w:spacing w:before="0" w:after="0" w:line="240" w:lineRule="auto"/>
        <w:ind w:left="0" w:right="0" w:firstLine="560"/>
        <w:jc w:val="both"/>
      </w:pPr>
      <w:r>
        <w:rPr>
          <w:rFonts w:ascii="Times New Roman" w:hAnsi="Times New Roman" w:cs="Times New Roman" w:eastAsia="仿宋"/>
          <w:b w:val="0"/>
          <w:sz w:val="28"/>
        </w:rPr>
        <w:t>报告开篇指出，加密货币市场在经历了2025年第四季度至2026年第一季度的震荡调整后，另类币总市值相较于比特币（BTC）的占比出现明显回升。Glassnode利用其专有的“另类币向量”指标，综合衡量多个主流另类币（如以太坊ETH、Solana SOL、Avalanche AVAX等）相对于比特币的表现。该指标通过分析价格动量、链上活跃度、交易所流入流出等多维度数据，生成一个反映另类币整体强势程度的信号。</w:t>
      </w:r>
    </w:p>
    <w:p>
      <w:pPr>
        <w:pStyle w:val="正文内容"/>
        <w:spacing w:before="0" w:after="0" w:line="240" w:lineRule="auto"/>
        <w:ind w:left="0" w:right="0" w:firstLine="560"/>
        <w:jc w:val="both"/>
      </w:pPr>
      <w:r>
        <w:rPr>
          <w:rFonts w:ascii="Times New Roman" w:hAnsi="Times New Roman" w:cs="Times New Roman" w:eastAsia="仿宋"/>
          <w:b w:val="0"/>
          <w:sz w:val="28"/>
        </w:rPr>
        <w:t>在资金流动方面，报告强调了稳定币（Stablecoin）总供给量的变化对另类币市场的关键影响。截至2026年5月，主流稳定币（如USDT、USDC、DAI）的总供给量已恢复至历史高位附近，达到约2200亿美元。Glassnode分析认为，稳定币供给的扩张通常预示着市场风险偏好上升，因为投资者倾向于将稳定币作为“弹药”用于购买另类币等高风险资产。此外，稳定币在交易所的余额比例上升也表明短期内买入力量可能增强。</w:t>
      </w:r>
    </w:p>
    <w:p>
      <w:pPr>
        <w:pStyle w:val="正文内容"/>
        <w:spacing w:before="0" w:after="0" w:line="240" w:lineRule="auto"/>
        <w:ind w:left="0" w:right="0" w:firstLine="560"/>
        <w:jc w:val="both"/>
      </w:pPr>
      <w:r>
        <w:rPr>
          <w:rFonts w:ascii="Times New Roman" w:hAnsi="Times New Roman" w:cs="Times New Roman" w:eastAsia="仿宋"/>
          <w:b w:val="0"/>
          <w:sz w:val="28"/>
        </w:rPr>
        <w:t>关于另类币的估值模型，报告引入了“MVRV Z-Score”的衍生版本——Altcoin MVRV Z-Score，用于评估另类币市场的整体盈利水平和泡沫风险。当前该指标处于中等偏低区间，表明另类币整体尚未进入极端高估区域，但部分高市值另类币的链上成本基础已显著高于当前价格，暗示潜在的上行阻力。同时，Glassnode的“资金费率”数据分析显示，永续合约市场中的多头情绪有所升温，但杠杆水平仍低于2024年底的峰值，市场未出现过度投机信号。</w:t>
      </w:r>
    </w:p>
    <w:p>
      <w:pPr>
        <w:pStyle w:val="正文内容"/>
        <w:spacing w:before="0" w:after="0" w:line="240" w:lineRule="auto"/>
        <w:ind w:left="0" w:right="0" w:firstLine="560"/>
        <w:jc w:val="both"/>
      </w:pPr>
      <w:r>
        <w:rPr>
          <w:rFonts w:ascii="Times New Roman" w:hAnsi="Times New Roman" w:cs="Times New Roman" w:eastAsia="仿宋"/>
          <w:b w:val="0"/>
          <w:sz w:val="28"/>
        </w:rPr>
        <w:t>在细分板块方面，报告重点分析了以太坊（Ethereum，ETH）生态系统的表现。ETH的“净未实现利润/亏损”（NUPL）指标显示，市场参与者整体处于“乐观但谨慎”状态，未实现利润占比约为30%。另一方面，Solana（SOL）的链上活跃地址数和交易笔数在2026年第二季度均创下历史新高，反映出其生态增长活力。但Glassnode警告，高链上活动并不直接等同于价格支撑，还需结合代币解锁和持仓集中度等风险指标综合判断。</w:t>
      </w:r>
    </w:p>
    <w:p>
      <w:pPr>
        <w:pStyle w:val="正文内容"/>
        <w:spacing w:before="0" w:after="0" w:line="240" w:lineRule="auto"/>
        <w:ind w:left="0" w:right="0" w:firstLine="560"/>
        <w:jc w:val="both"/>
      </w:pPr>
      <w:r>
        <w:rPr>
          <w:rFonts w:ascii="Times New Roman" w:hAnsi="Times New Roman" w:cs="Times New Roman" w:eastAsia="仿宋"/>
          <w:b w:val="0"/>
          <w:sz w:val="28"/>
        </w:rPr>
        <w:t>报告还探讨了“比特币主导地位”与另类币指数之间的负相关性。2026年5月，比特币主导率从年初的58%回落至52%附近，同期另类币总市值相对比特币的比率上升约15个百分点。Glassnode通过回归分析发现，当比特币主导率进入下降通道时，另类币通常呈现结构性上涨行情，但这一轮轮动中资金流向呈现“脉冲式”特征，而非持续流入。这暗示市场可能仍处于存量博弈阶段，增量资金有限。</w:t>
      </w:r>
    </w:p>
    <w:p>
      <w:pPr>
        <w:pStyle w:val="正文内容"/>
        <w:spacing w:before="0" w:after="0" w:line="240" w:lineRule="auto"/>
        <w:ind w:left="0" w:right="0" w:firstLine="560"/>
        <w:jc w:val="both"/>
      </w:pPr>
      <w:r>
        <w:rPr>
          <w:rFonts w:ascii="Times New Roman" w:hAnsi="Times New Roman" w:cs="Times New Roman" w:eastAsia="仿宋"/>
          <w:b w:val="0"/>
          <w:sz w:val="28"/>
        </w:rPr>
        <w:t>在宏观背景方面，报告引用了美国联邦储备委员会（Federal Reserve）的货币政策预期。2026年5月，市场普遍预期美联储将在6月暂停加息，甚至可能在年底前转向降息。这一宏观宽松预期提振了风险资产整体估值，加密货币市场也同步走高。Glassnode指出，另类币对利率政策的敏感度高于比特币，因为其估值更多依赖于远期增长预期和代币效用。若降息落地，另类币可能出现阶段性强势，但若通胀数据反弹，调整风险将加剧。</w:t>
      </w:r>
    </w:p>
    <w:p>
      <w:pPr>
        <w:pStyle w:val="正文内容"/>
        <w:spacing w:before="0" w:after="0" w:line="240" w:lineRule="auto"/>
        <w:ind w:left="0" w:right="0" w:firstLine="560"/>
        <w:jc w:val="both"/>
      </w:pPr>
      <w:r>
        <w:rPr>
          <w:rFonts w:ascii="Times New Roman" w:hAnsi="Times New Roman" w:cs="Times New Roman" w:eastAsia="仿宋"/>
          <w:b w:val="0"/>
          <w:sz w:val="28"/>
        </w:rPr>
        <w:t>关于去中心化金融（DeFi）的联动作用，报告统计了主流DeFi协议中锁定的总价值（TVL）。截至5月28日，以太坊DeFi TVL约为820亿美元，Solana DeFi TVL约为120亿美元，均较第一季度末增长约20%。Glassnode认为，DeFi活动回暖为另类币创造了实际的应用场景和货币溢价，尤其是那些与DEX、借贷、质押等协议紧密关联的代币。但需注意，DeFi TVL的增长部分源于代币价格上涨的被动拉升，而非真实的资金净流入。</w:t>
      </w:r>
    </w:p>
    <w:p>
      <w:pPr>
        <w:pStyle w:val="正文内容"/>
        <w:spacing w:before="0" w:after="0" w:line="240" w:lineRule="auto"/>
        <w:ind w:left="0" w:right="0" w:firstLine="560"/>
        <w:jc w:val="both"/>
      </w:pPr>
      <w:r>
        <w:rPr>
          <w:rFonts w:ascii="Times New Roman" w:hAnsi="Times New Roman" w:cs="Times New Roman" w:eastAsia="仿宋"/>
          <w:b w:val="0"/>
          <w:sz w:val="28"/>
        </w:rPr>
        <w:t>最后，报告对投资者提出风险警示。Glassnode强调，另类币市场流动性仍相对不足，大额交易容易产生滑点，且链上数据存在“钱包清洗”等噪音。此外，中心化交易所（CEX）与去中心化交易所（DEX）之间的价差以及稳定币的脱锚风险仍需密切关注。第56期《另类币向量》的结论指出，当前另类币市场处于中期筑底向复苏过渡的阶段，但若要确认趋势反转，仍需等待比特币主导率的持续下降以及稳定币供给的进一步扩张。Glassnode建议投资者使用链上量价分析结合宏观政策信号，构建动态仓位管理策略。</w:t>
      </w:r>
    </w:p>
    <w:p>
      <w:pPr>
        <w:pStyle w:val="信息来源"/>
        <w:spacing w:before="50" w:after="100" w:line="240" w:lineRule="auto"/>
        <w:ind w:left="0" w:right="0" w:firstLine="0"/>
        <w:jc w:val="right"/>
      </w:pPr>
      <w:r>
        <w:rPr>
          <w:rFonts w:ascii="Times New Roman" w:hAnsi="Times New Roman" w:cs="Times New Roman" w:eastAsia="仿宋"/>
          <w:b w:val="0"/>
          <w:sz w:val="21"/>
        </w:rPr>
        <w:t>（信息来源：Glassnode Research）</w:t>
      </w:r>
    </w:p>
    <w:p>
      <w:pPr>
        <w:pStyle w:val="原文信息"/>
        <w:spacing w:before="0" w:after="0" w:line="240" w:lineRule="auto"/>
        <w:ind w:left="0" w:right="0" w:firstLine="0"/>
        <w:jc w:val="left"/>
      </w:pPr>
      <w:r>
        <w:rPr>
          <w:rFonts w:ascii="Times New Roman" w:hAnsi="Times New Roman" w:cs="Times New Roman" w:eastAsia="仿宋"/>
          <w:b w:val="0"/>
          <w:sz w:val="18"/>
        </w:rPr>
        <w:t>原文标题：The Altcoin Vector #56</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原文链接：https：//news.google.com/rss/articles/CBMiY0FVX3lxTFByMldmM0d1V29xblNRZHJfZXFKcUNqU0wwOVVhbTJka2ZPYktwN2s4U3ZzMlEwSkVQZjhObExIUFkwVVd6LVJrTUpGR3NmT0syYzVLQkF3bjZQQzhZYzdSdnJfbw？oc=5</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2026-05-25 16:21 至 2026-05-28 16:21（北京时间，最近3天）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