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cs="Times New Roman" w:eastAsia="黑体"/>
          <w:b w:val="0"/>
          <w:sz w:val="32"/>
        </w:rPr>
        <w:t>目  录</w:t>
      </w:r>
    </w:p>
    <w:p>
      <w:pPr>
        <w:ind w:firstLine="0"/>
      </w:pPr>
      <w:r>
        <w:rPr>
          <w:rFonts w:ascii="Times New Roman" w:hAnsi="Times New Roman" w:cs="Times New Roman" w:eastAsia="黑体"/>
          <w:b w:val="0"/>
          <w:color w:val="0066FF"/>
          <w:sz w:val="32"/>
        </w:rPr>
        <w:t>【政策风向】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香港数字资产政策与实践间存在差距引发关注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SEC主席阿特金斯宣布反创新时代结束并承诺明确加密监管规则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欧盟MiCA加密监管规则手册全面解析</w:t>
      </w:r>
    </w:p>
    <w:p>
      <w:pPr>
        <w:ind w:firstLine="0"/>
      </w:pPr>
      <w:r>
        <w:rPr>
          <w:rFonts w:ascii="Times New Roman" w:hAnsi="Times New Roman" w:cs="Times New Roman" w:eastAsia="黑体"/>
          <w:b w:val="0"/>
          <w:color w:val="0066FF"/>
          <w:sz w:val="32"/>
        </w:rPr>
        <w:t>【行业前沿】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万事达卡获纽约BitLicense推动稳定币结算基础设施建设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DTCC与Stellar合作推动机构级代币化证券网络</w:t>
      </w:r>
    </w:p>
    <w:p>
      <w:pPr>
        <w:ind w:firstLine="0"/>
      </w:pPr>
      <w:r>
        <w:rPr>
          <w:rFonts w:ascii="Times New Roman" w:hAnsi="Times New Roman" w:cs="Times New Roman" w:eastAsia="黑体"/>
          <w:b w:val="0"/>
          <w:color w:val="0066FF"/>
          <w:sz w:val="32"/>
        </w:rPr>
        <w:t>【市场动态】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美伊紧张局势引爆加密市场比特币跌破73000美元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贝莱德比特币ETF遭遇史上第二大资金外流比特币跌破73000美元</w:t>
      </w:r>
    </w:p>
    <w:p>
      <w:pPr>
        <w:ind w:firstLine="0"/>
      </w:pPr>
      <w:r>
        <w:rPr>
          <w:rFonts w:ascii="Times New Roman" w:hAnsi="Times New Roman" w:cs="Times New Roman" w:eastAsia="黑体"/>
          <w:b w:val="0"/>
          <w:color w:val="0066FF"/>
          <w:sz w:val="32"/>
        </w:rPr>
        <w:t>【意见领袖】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BitgetCEO表示比特币四年周期规律仍在发挥作用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基金经理警告比特币可能进一步下跌因1500亿美元国债操作迫近</w:t>
      </w:r>
    </w:p>
    <w:p>
      <w:pPr>
        <w:ind w:firstLine="0"/>
      </w:pPr>
      <w:r>
        <w:rPr>
          <w:rFonts w:ascii="Times New Roman" w:hAnsi="Times New Roman" w:cs="Times New Roman" w:eastAsia="黑体"/>
          <w:b w:val="0"/>
          <w:color w:val="0066FF"/>
          <w:sz w:val="32"/>
        </w:rPr>
        <w:t>【专题研究】</w:t>
      </w:r>
    </w:p>
    <w:p>
      <w:pPr>
        <w:pStyle w:val="ListParagraph"/>
        <w:spacing w:line="360" w:lineRule="auto"/>
        <w:ind w:left="0" w:firstLine="0"/>
      </w:pPr>
      <w:r>
        <w:rPr>
          <w:rFonts w:ascii="Times New Roman" w:hAnsi="Times New Roman" w:cs="Times New Roman" w:eastAsia="楷体"/>
          <w:b w:val="0"/>
          <w:sz w:val="28"/>
        </w:rPr>
        <w:t>· 代币化现实世界资产市场规模突破510亿美元Bernstein报告揭示增长潜力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【政策风向】</w:t>
      </w:r>
    </w:p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香港数字资产政策与实践间存在差距引发关注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香港数字资产监管框架与实际执行之间存在显著差距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业界呼吁简化合规流程并明确监管标准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政策制定者需在创新与风险防控之间取得平衡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南华早报分析指出，香港虽已推出数字资产许可制度，但企业在实际操作中仍面临合规障碍。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根据南华早报（South China Morning Post）的分析，香港数字资产政策与实践之间仍存在显著差距。尽管香港证券及期货事务监察委员会（SFC）已推出虚拟资产交易平台牌照制度，但业界普遍反映合规流程繁琐、标准不够明确。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报道指出，部分持牌机构在实际运营中遇到银行开户困难、跨境资金流动受限等问题，导致政策红利未能充分释放。业内人士呼吁监管机构进一步简化程序，并加强与业界的沟通。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香港政府此前表示将推动数字资产与实体经济融合，但观察人士认为，若不能弥合政策与执行之间的鸿沟，香港作为国际数字资产中心的竞争力可能受到影响。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分析还提到，香港在制定数字资产规则时需参考全球趋势，尤其是欧盟《加密资产市场监管法案》（MiCA）和新加坡的实践经验，以构建兼顾创新与投资者保护的监管环境。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（信息来源：South China Morning Post）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原文标题：Mind the gap between Hong Kong digital asset policy and practice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swFBVV95cUxNU3dzTXA2eDNPNUtqazRLMk5UenpwbV9sN2ljMVhySWMtLWNvTjB2eFBMRjNybWJtbnFuam5TNi1wai04RE9fRDJSQXlEWWxVQVZsSHhCZWlmRHZBc0JhY3ozVndVX0xOV1Q0TzBwb2hPTFJ2YzZiNF9tLXRhN2VJd1ltQzNudTkzSHhRYXZ0LTNjMkFDX0xiSWkyb3FRNklXamJSdHR1TWtjdFVoc3ExbWx4UQ</w:t>
      </w:r>
    </w:p>
    <w:p/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SEC主席阿特金斯宣布反创新时代结束并承诺明确加密监管规则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美国证券交易委员会（SEC）主席Mark Uyeda Atkins表示监管环境转向支持创新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Atkins承诺将制定清晰的数字资产监管框架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此举被视为对加密行业的重大利好信号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美国证券交易委员会主席Mark Uyeda Atkins公开表示，过去的反创新时代已经结束，将为加密资产提供明确的监管指引。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美国证券交易委员会（SEC）主席Mark Uyeda Atkins在公开声明中宣布，监管机构的“反创新”时代已经结束，并承诺将为加密货币行业提供明确的监管框架。Atkins表示，SEC正在积极制定数字资产分类和交易规则，以促进市场健康发展。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Atkins强调，清晰的监管规则将吸引更多机构投资者进入加密市场，同时保护投资者权益。他批评前任SEC主席Gary Gensler的执法监管方式，认为其扼杀了美国在区块链技术领域的领先地位。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业内人士对Atkins的表态表示欢迎，认为这标志着美国联邦层面的监管态度发生重大转变。不过，也有分析指出，具体规则的起草和通过仍需时间，且可能面临国会立法博弈。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（信息来源：Bitcoin World）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原文标题：SEC Chair Atkins Declares Anti-Innovation Era Over, Vows Crypto Regulatory Clarity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原文链接：https://news.google.com/rss/articles/CBMia0FVX3lxTE8xV1ZlajZqX2RENnBOQ0VvVGpuU2xWeHBueEdZdXVKeHBwSElzM1d1UEVCZFhDVkpQaHNkX3RTa2VwUDdSOHlIVnJjSE9XRk55c2l3bGtsTnVoSzVwUVdNeXFsY3BJc3FNMTZn</w:t>
      </w:r>
    </w:p>
    <w:p/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欧盟MiCA加密监管规则手册全面解析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欧盟《加密资产市场监管法案》（MiCA）为全球首个全面的数字资产监管框架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MiCA对稳定币、加密资产服务提供商（CASP）等提出明确要求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该法案于2024年部分生效，2025年全面实施，影响全球加密行业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CoinLaw详细解读欧盟《加密资产市场监管法案》（MiCA），该法案被视为全球加密监管的标杆。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CoinLaw发布的指南详细介绍了欧盟《加密资产市场监管法案》（Markets in Crypto-Assets Regulation，MiCA）的核心内容。MiCA是欧盟针对数字资产制定的首个全面监管框架，旨在统一27个成员国的加密规则。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根据指南，MiCA将加密资产分为三类：资产参考代币（ART）、电子货币代币（EMT）和其他加密资产。其中，稳定币发行方必须持有充足储备金并接受欧洲银行管理局监管。加密资产服务提供商（CASP）需获得授权并遵守反洗钱规则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MiCA已于2024年6月部分生效，涵盖稳定币相关条款；2025年1月全面实施，覆盖所有加密资产服务。该法案对全球其他司法管辖区的监管设计产生了深远影响，包括英国、香港等均在参考其框架。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（信息来源：CoinLaw）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原文标题：What Is MiCA Regulation? The EU Crypto Rulebook Explained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原文链接：https://news.google.com/rss/articles/CBMiVkFVX3lxTFBTNzExVjlhTXRvdEExam16YVpOelZ4Vk9UQ2tESmFaZEdfczZmOUhSTUNYVGlVa29pRnp0cU14NDY4RGpMQURxRUI5ZTRMZmlNN000ZVpR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【行业前沿】</w:t>
      </w:r>
    </w:p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万事达卡获纽约BitLicense推动稳定币结算基础设施建设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万事达卡获得纽约州金融服务局（NYDFS）颁发的BitLicense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将利用该牌照建设受监管的稳定币结算基础设施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此举标志传统支付巨头深入加密领域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支付巨头万事达卡（Mastercard）获得纽约州BitLicense，计划构建符合监管标准的稳定币结算系统。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万事达卡（Mastercard）宣布已获得纽约州金融服务局（NYDFS）颁发的BitLicense，这是该州针对虚拟货币活动的特许经营牌照。万事达卡表示，将利用该牌照构建受监管的稳定币和代币化存款结算基础设施。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该基础设施将支持银行和金融机构使用稳定币进行实时结算，并符合纽约州的严格监管要求。万事达卡此前已在加密领域布局，包括推出加密借记卡和与区块链公司合作，此次BitLicense的获得标志着其合规化战略迈出关键一步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行业分析指出，传统支付巨头获得加密监管许可，有助于推动稳定币在主流金融体系中的应用，并可能加速全球支付网络的数字化升级。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（信息来源：FinanceFeeds）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原文标题：Mastercard Secures New York BitLicense to Build Regulated Stablecoin Settlement Infrastructure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vAFBVV95cUxQenZlYWNMUUNjVGEtQ1pEY09QUGlZdHVJYUx4NkMzc09hSWwyYlNQa2xOOU5ucUVDRkk5VTBkbmJPVnJtUGFZRXhzclQ1dUhndkozMVg0bTlMd2pPaFgtUjY4UV8xbkZvTnMzOXlpTVdfTjd2MUJwSnJLckFfcjZReWNneDZwcERYb0gyT1RCQk9FcnhPVHViRkRrcFE0QlItczJvLVZVT3FrZFZ1RlFDV3pMZzJrVFphcTlmUw</w:t>
      </w:r>
    </w:p>
    <w:p/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DTCC与Stellar合作推动机构级代币化证券网络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美国证券存托与清算公司（DTCC）选择Stellar公链实现代币化证券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目标在2027年上线代币化股票、ETF和国债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这是传统金融市场基础设施与公链融合的重要案例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美国证券存托与清算公司（DTCC）宣布与Stellar网络合作，计划将代币化证券引入公链。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美国证券存托与清算公司（DTCC）宣布与Stellar（恒星）网络达成合作，将通过Stellar公链推出代币化证券服务。DTCC计划在2027年前将代币化股票、交易所交易基金（ETF）和美国国债等资产上链。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此举被视为传统金融市场基础设施向区块链迁移的重要里程碑。DTCC表示，代币化将提高结算效率、降低运营成本，并实现7x24小时交易。Stellar以其高效低成本的跨境支付能力成为首选底层网络。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此次合作也反映了华尔街对区块链技术从探索到实际应用的转变。此前DTCC已参与多个区块链试点项目，而代币化现实世界资产（RWA）市场规模正快速增长，据Bernstein报告已超过510亿美元。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（信息来源：TronWeekly）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原文标题：DTCC Tokenization Targets Institutional Blockchain Adoption With Stellar Network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原文链接：https://news.google.com/rss/articles/CBMidkFVX3lxTFBuSnY5OWtCaHcyTWZES21Pb29LUFJhVGJHek1KZHUwV29rMGhpWWp6RFlxanVLSWZIUVVCSjdRdmYxdmk2ZC1RT1V2Wmk5dlN1bVZSMlo4NmxMV0tLYUVQTng2MDJiS0lqUGFtRExJU1EzWnBoTnc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【市场动态】</w:t>
      </w:r>
    </w:p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美伊紧张局势引爆加密市场比特币跌破73000美元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美国对伊朗发动空袭导致市场恐慌，比特币跌至五周低点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加密货币市场总清算额超过10亿美元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地缘政治风险加剧加密资产抛售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因美国对伊朗发动空袭引发避险情绪，比特币价格跌破73，000美元，加密货币市场出现大规模清算。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CoinDesk报道，美国对伊朗发动空袭后，比特币（Bitcoin，BTC）价格急剧下跌，一度跌破73，000美元，创五周新低。市场恐慌情绪蔓延，导致全市场超过10亿美元的多头头寸被清算。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此次下跌与地缘政治冲突直接相关，投资者迅速转向避险资产。比特币ETF也出现大规模资金外流，其中贝莱德（BlackRock）旗下比特币ETF（IBIT）单日流出达5.28亿美元。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分析师指出，中东局势的不确定性可能进一步压制风险资产价格，但比特币此前在类似事件中表现出韧性，长期走势仍需观察。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（信息来源：CoinDesk）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原文标题：Bitcoin drops below $73,000 as U.S. strikes on Iran spark $1 billion liquidations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xgFBVV95cUxNLW16OUdFVzlLQ0tVQ3VfVUtuUG1DY0VqRlpBbTNaYU5GSm83STdRVDB1SEpyVWJCX2NwOTh1ejZLVzJqcmI0cVpIaThfQWhiNElOTWN6WmlibkpUbC1OM1JvcEVoaFFyNnlQa2JqS2tjdHRwM1lZLXpUTHk2dk9XamkteWRqSjdzV2d5TWFnN0hyRWo4UkFvRnN5SHBUU19fUmVlTUt0YUdtVllQWWtvWEtVaXRXVFZDVmdpbXNwWE81b2pYb0E</w:t>
      </w:r>
    </w:p>
    <w:p/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贝莱德比特币ETF遭遇史上第二大资金外流比特币跌破73000美元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贝莱德IBIT比特币ETF单日净流出5.28亿美元，为上市以来第二大流出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比特币价格同步跌破73，000美元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ETF资金外流加剧市场下行压力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The Block报道，贝莱德（BlackRock）现货比特币ETF（IBIT）遭遇单日5.28亿美元资金外流，为上市以来第二高，比特币应声下跌。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据The Block报道，贝莱德旗下的现货比特币交易所交易基金（ETF）IBIT在5月27日录得5.28亿美元的净流出，这是自该产品1月上市以来第二大单日资金外流。此前最大流出发生在4月。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伴随ETF流出，比特币价格跌破73，000美元。分析师指出，此次资金外流可能与地缘政治紧张以及投资者获利了结有关。此外，其他比特币ETF也出现不同规模流出，但IBIT的流出量尤为引人注目。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尽管ETF资金外流，但仍有部分投资者将其视为短期调整。市场关注焦点转向后续资金流向及宏观经济政策变化。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（信息来源：The Block）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原文标题：Bitcoin falls below $73,000 as BlackRock's BTC ETF sees second-largest outflows since debut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原文链接：https://news.google.com/rss/articles/CBMic0FVX3lxTE5zWEVTeXJya2xGdWg0elVQNkJVMWlIRnh1QlFSWWkzRXlQQjdLYjQ0X0ZXUTZENFF5a29ZVVZEcE81c2dIajhZVGZLZ0NnXzF0UHJLQ2FJbEhRa3BqV19fc2R6aHNlVjM2a2hmUG5xTzlGODA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【意见领袖】</w:t>
      </w:r>
    </w:p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BitgetCEO表示比特币四年周期规律仍在发挥作用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Bitget首席执行官认为比特币四年周期依然有效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当前价格处于周期调整阶段，为下一轮上涨做准备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长期持有者应保持信心，短期波动正常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Bitget首席执行官在接受采访时指出，比特币的四年周期规律未被打破，目前市场调整符合历史模式。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加密货币交易所Bitget的首席执行官在接受采访时表示，比特币（Bitcoin，BTC）的四年周期规律（即减半周期）仍然在发挥作用。他认为，当前价格从高点回落属于正常调整，为下一轮上涨积蓄力量。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该CEO指出，历史数据表明，每次减半后比特币都会经历一段横盘或下跌期，随后进入牛市。他强调，投资者应关注长期趋势而非短期波动。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他补充道，机构投资者的参与和ETF的推出可能改变部分周期特征，但基本面支撑仍然坚实。比特币的稀缺性叙事和全球采用率提升将推动其长期价值。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（信息来源：Bitget）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原文标题：Bitcoin's 4-Year Rhythm Is Still Playing Out, Says Crypto CEO - Bitget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Y0FVX3lxTE5kXzVfLVQyaWhVRVNlM0RtdjZReU9RMFZWYWxxMFQ5VTJ0OEVXaUlxTlVzVFB1ZGp3eEdka1huWEVVNzI2QkN3MU5XRU5lSWEteGppSFpqV1FQU25iaEJINEZna9IBY0FVX3lxTE5kXzVfLVQyaWhVRVNlM0RtdjZReU9RMFZWYWxxMFQ5VTJ0OEVXaUlxTlVzVFB1ZGp3eEdka1huWEVVNzI2QkN3MU5XRU5lSWEteGppSFpqV1FQU25iaEJINEZnaw</w:t>
      </w:r>
    </w:p>
    <w:p/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基金经理警告比特币可能进一步下跌因1500亿美元国债操作迫近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一位基金经理警告称美国财政部即将进行的1500亿美元操作将抽走流动性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比特币可能因此进一步下跌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宏观流动性收紧对加密市场构成压力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CoinDesk报道，一位基金经理警告，随着美国财政部约1500亿美元的国债发行操作临近，比特币可能面临更深度的回调。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一位不愿具名的基金经理向CoinDesk表示，比特币当前的抛售可能尚未结束，因为美国财政部即将启动约1500亿美元的国债发行操作，这将从金融市场抽走大量流动性。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该经理指出，流动性收紧通常会压低风险资产价格，比特币作为高波动性资产尤其敏感。他认为，比特币短期内可能测试更低的支撑位，并建议投资者关注美联储政策和美元走势。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截至发稿，比特币已从高点回落超过10%。分析师正密切关注财政部通用账户（TGA）余额变化对市场的具体影响。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（信息来源：CoinDesk）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原文标题：Bitcoin could be heading much lower, fund manager warns as $150 billion Treasury operation nears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Heading1"/>
      </w:pPr>
      <w:r>
        <w:rPr>
          <w:rFonts w:ascii="Times New Roman" w:hAnsi="Times New Roman" w:cs="Times New Roman" w:eastAsia="黑体"/>
          <w:b w:val="0"/>
          <w:color w:val="2F5496"/>
          <w:sz w:val="30"/>
        </w:rPr>
        <w:t>【专题研究】</w:t>
      </w:r>
    </w:p>
    <w:p>
      <w:pPr>
        <w:pStyle w:val="文章一级标题"/>
        <w:jc w:val="center"/>
      </w:pPr>
      <w:r>
        <w:rPr>
          <w:rFonts w:ascii="Times New Roman" w:hAnsi="Times New Roman" w:cs="Times New Roman" w:eastAsia="黑体"/>
          <w:b w:val="0"/>
          <w:sz w:val="30"/>
        </w:rPr>
        <w:t>代币化现实世界资产市场规模突破510亿美元Bernstein报告揭示增长潜力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Bernstein报告显示代币化现实世界资产（RWA）市场规模已超510亿美元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代币化国债、信贷和房地产是主要增长领域</w:t>
      </w:r>
    </w:p>
    <w:p>
      <w:pPr>
        <w:ind w:firstLine="0" w:left="0"/>
      </w:pPr>
      <w:r>
        <w:rPr>
          <w:rFonts w:ascii="Times New Roman" w:hAnsi="Times New Roman" w:cs="Times New Roman" w:eastAsia="仿宋"/>
          <w:b w:val="0"/>
          <w:sz w:val="28"/>
        </w:rPr>
        <w:t>· 传统金融机构加速入场推动市场扩容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华尔街研究机构Bernstein发布报告指出，代币化现实世界资产（RWA）市场已突破510亿美元，预计未来两年将快速增长。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投资研究机构Bernstein发布最新报告显示，截至2026年5月，全球代币化现实世界资产（Real-World Assets，RWA）市场规模已超过510亿美元。该数字较上年同期增长超过200%。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报告指出，代币化资产涵盖美国国债、公司债券、信贷产品、房地产和大宗商品等。其中代币化美国国债规模增长尤为迅猛，已超过200亿美元，主要得益于贝莱德、富兰克林邓普顿等资管巨头的参与。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Bernstein分析师认为，代币化通过提高流动性、降低交易成本和实现24小时结算，正在改变传统资产的管理方式。他们预测，到2028年，代币化市场总规模可能达到1万亿美元。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推动增长的关键因素包括：区块链基础设施的成熟、监管框架的明确（如欧盟MiCA和美国的GENIUS法案），以及机构投资者对高效结算的需求。此外，Stellar、以太坊（Ethereum）等公链上的代币化项目日益增多，为市场提供了技术基础。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然而，报告也指出挑战，包括跨链互操作性不足、监管碎片化以及传统金融机构的认知风险。尽管如此，Bernstein认为代币化是“不可逆转的趋势”，并将重塑金融市场格局。</w:t>
      </w:r>
    </w:p>
    <w:p>
      <w:pPr>
        <w:pStyle w:val="信息来源"/>
        <w:spacing w:before="50" w:after="10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（信息来源：Cryptonews.net）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原文标题：Tokenized Real-World Asset Market Surpasses $51 Billion, Bernstein Reports</w:t>
      </w:r>
    </w:p>
    <w:p>
      <w:pPr>
        <w:pStyle w:val="正文内容"/>
        <w:ind w:firstLine="562"/>
      </w:pPr>
      <w:r>
        <w:rPr>
          <w:rFonts w:ascii="Times New Roman" w:hAnsi="Times New Roman" w:cs="Times New Roman" w:eastAsia="仿宋"/>
          <w:b w:val="0"/>
          <w:sz w:val="28"/>
        </w:rPr>
        <w:t>原文链接：https://news.google.com/rss/articles/CBMiXEFVX3lxTFBUd0FTblVqNnREaDNiM2tFQ1NoSHRnV2h2VjU0MlctOUZlT3FiZVdQWmdpUjVqWWFoQlBqdzZVLUxVWlNPcDJqLUk5YmJ1X09LNktWU3BkSURydHJt</w:t>
      </w:r>
    </w:p>
    <w:sectPr w:rsidR="00FC693F" w:rsidRPr="0006063C" w:rsidSect="00034616">
      <w:pgSz w:w="12240" w:h="15840"/>
      <w:pgMar w:top="1440" w:right="1803" w:bottom="1440" w:left="1803" w:header="850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firstLine="200"/>
    </w:pPr>
    <w:rPr>
      <w:rFonts w:ascii="Times New Roman" w:hAnsi="Times New Roman" w:cs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40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2F54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文章一级标题">
    <w:name w:val="文章一级标题"/>
    <w:pPr>
      <w:jc w:val="center"/>
    </w:pPr>
    <w:rPr>
      <w:rFonts w:ascii="Times New Roman" w:hAnsi="Times New Roman" w:cs="Times New Roman" w:eastAsia="黑体"/>
      <w:sz w:val="30"/>
    </w:rPr>
  </w:style>
  <w:style w:type="paragraph" w:customStyle="1" w:styleId="正文内容">
    <w:name w:val="正文内容"/>
    <w:basedOn w:val="Normal"/>
    <w:pPr>
      <w:ind w:firstLine="562"/>
    </w:pPr>
    <w:rPr>
      <w:rFonts w:ascii="Times New Roman" w:hAnsi="Times New Roman" w:cs="Times New Roman" w:eastAsia="仿宋"/>
      <w:sz w:val="28"/>
    </w:rPr>
  </w:style>
  <w:style w:type="paragraph" w:customStyle="1" w:styleId="信息来源">
    <w:name w:val="信息来源"/>
    <w:basedOn w:val="Normal"/>
    <w:pPr>
      <w:spacing w:before="50" w:after="100"/>
      <w:jc w:val="right"/>
    </w:pPr>
    <w:rPr>
      <w:rFonts w:ascii="Times New Roman" w:hAnsi="Times New Roman" w:cs="Times New Roman" w:eastAsia="仿宋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加密货币观察周刊</dc:title>
  <dc:subject>2026-05-25 15:54 至 2026-05-28 15:54（北京时间，最近3天）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