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ind w:firstLine="0"/>
      </w:pPr>
      <w:r>
        <w:rPr>
          <w:rFonts w:ascii="Times New Roman" w:hAnsi="Times New Roman" w:cs="Times New Roman" w:eastAsia="黑体"/>
          <w:b w:val="0"/>
          <w:color w:val="0066FF"/>
          <w:sz w:val="32"/>
        </w:rPr>
        <w:t>【政策风向】</w:t>
      </w:r>
    </w:p>
    <w:p>
      <w:pPr>
        <w:pStyle w:val="ListParagraph"/>
        <w:spacing w:line="360" w:lineRule="auto"/>
        <w:ind w:left="0" w:firstLine="0"/>
      </w:pPr>
      <w:r>
        <w:rPr>
          <w:rFonts w:ascii="Times New Roman" w:hAnsi="Times New Roman" w:cs="Times New Roman" w:eastAsia="楷体"/>
          <w:b w:val="0"/>
          <w:sz w:val="28"/>
        </w:rPr>
        <w:t>· 美国证券交易委员会主席阿特金斯宣告反创新时代终结承诺加密货币监管清晰度</w:t>
      </w:r>
    </w:p>
    <w:p>
      <w:pPr>
        <w:pStyle w:val="ListParagraph"/>
        <w:spacing w:line="360" w:lineRule="auto"/>
        <w:ind w:left="0" w:firstLine="0"/>
      </w:pPr>
      <w:r>
        <w:rPr>
          <w:rFonts w:ascii="Times New Roman" w:hAnsi="Times New Roman" w:cs="Times New Roman" w:eastAsia="楷体"/>
          <w:b w:val="0"/>
          <w:sz w:val="28"/>
        </w:rPr>
        <w:t>· 香港数字资产政策与实践之间的差距需引起关注</w:t>
      </w:r>
    </w:p>
    <w:p>
      <w:pPr>
        <w:pStyle w:val="ListParagraph"/>
        <w:spacing w:line="360" w:lineRule="auto"/>
        <w:ind w:left="0" w:firstLine="0"/>
      </w:pPr>
      <w:r>
        <w:rPr>
          <w:rFonts w:ascii="Times New Roman" w:hAnsi="Times New Roman" w:cs="Times New Roman" w:eastAsia="楷体"/>
          <w:b w:val="0"/>
          <w:sz w:val="28"/>
        </w:rPr>
        <w:t>· 欧盟MiCA监管规则全面解读为加密货币提供统一法律框架</w:t>
      </w:r>
    </w:p>
    <w:p>
      <w:pPr>
        <w:ind w:firstLine="0"/>
      </w:pPr>
      <w:r>
        <w:rPr>
          <w:rFonts w:ascii="Times New Roman" w:hAnsi="Times New Roman" w:cs="Times New Roman" w:eastAsia="黑体"/>
          <w:b w:val="0"/>
          <w:color w:val="0066FF"/>
          <w:sz w:val="32"/>
        </w:rPr>
        <w:t>【行业前沿】</w:t>
      </w:r>
    </w:p>
    <w:p>
      <w:pPr>
        <w:pStyle w:val="ListParagraph"/>
        <w:spacing w:line="360" w:lineRule="auto"/>
        <w:ind w:left="0" w:firstLine="0"/>
      </w:pPr>
      <w:r>
        <w:rPr>
          <w:rFonts w:ascii="Times New Roman" w:hAnsi="Times New Roman" w:cs="Times New Roman" w:eastAsia="楷体"/>
          <w:b w:val="0"/>
          <w:sz w:val="28"/>
        </w:rPr>
        <w:t>· 万事达卡获批纽约加密牌照将构建受监管的稳定币结算基础设施</w:t>
      </w:r>
    </w:p>
    <w:p>
      <w:pPr>
        <w:pStyle w:val="ListParagraph"/>
        <w:spacing w:line="360" w:lineRule="auto"/>
        <w:ind w:left="0" w:firstLine="0"/>
      </w:pPr>
      <w:r>
        <w:rPr>
          <w:rFonts w:ascii="Times New Roman" w:hAnsi="Times New Roman" w:cs="Times New Roman" w:eastAsia="楷体"/>
          <w:b w:val="0"/>
          <w:sz w:val="28"/>
        </w:rPr>
        <w:t>· 美国证券存管清算公司携手恒星网络推进机构代币化采用</w:t>
      </w:r>
    </w:p>
    <w:p>
      <w:pPr>
        <w:ind w:firstLine="0"/>
      </w:pPr>
      <w:r>
        <w:rPr>
          <w:rFonts w:ascii="Times New Roman" w:hAnsi="Times New Roman" w:cs="Times New Roman" w:eastAsia="黑体"/>
          <w:b w:val="0"/>
          <w:color w:val="0066FF"/>
          <w:sz w:val="32"/>
        </w:rPr>
        <w:t>【市场动态】</w:t>
      </w:r>
    </w:p>
    <w:p>
      <w:pPr>
        <w:pStyle w:val="ListParagraph"/>
        <w:spacing w:line="360" w:lineRule="auto"/>
        <w:ind w:left="0" w:firstLine="0"/>
      </w:pPr>
      <w:r>
        <w:rPr>
          <w:rFonts w:ascii="Times New Roman" w:hAnsi="Times New Roman" w:cs="Times New Roman" w:eastAsia="楷体"/>
          <w:b w:val="0"/>
          <w:sz w:val="28"/>
        </w:rPr>
        <w:t>· 比特币跌破73000美元美伊冲突引发10亿美元加密货币市场清算</w:t>
      </w:r>
    </w:p>
    <w:p>
      <w:pPr>
        <w:pStyle w:val="ListParagraph"/>
        <w:spacing w:line="360" w:lineRule="auto"/>
        <w:ind w:left="0" w:firstLine="0"/>
      </w:pPr>
      <w:r>
        <w:rPr>
          <w:rFonts w:ascii="Times New Roman" w:hAnsi="Times New Roman" w:cs="Times New Roman" w:eastAsia="楷体"/>
          <w:b w:val="0"/>
          <w:sz w:val="28"/>
        </w:rPr>
        <w:t>· 比特币跌破73000美元贝莱德比特币ETF遭遇推出以来第二大单日资金外流</w:t>
      </w:r>
    </w:p>
    <w:p>
      <w:pPr>
        <w:ind w:firstLine="0"/>
      </w:pPr>
      <w:r>
        <w:rPr>
          <w:rFonts w:ascii="Times New Roman" w:hAnsi="Times New Roman" w:cs="Times New Roman" w:eastAsia="黑体"/>
          <w:b w:val="0"/>
          <w:color w:val="0066FF"/>
          <w:sz w:val="32"/>
        </w:rPr>
        <w:t>【意见领袖】</w:t>
      </w:r>
    </w:p>
    <w:p>
      <w:pPr>
        <w:pStyle w:val="ListParagraph"/>
        <w:spacing w:line="360" w:lineRule="auto"/>
        <w:ind w:left="0" w:firstLine="0"/>
      </w:pPr>
      <w:r>
        <w:rPr>
          <w:rFonts w:ascii="Times New Roman" w:hAnsi="Times New Roman" w:cs="Times New Roman" w:eastAsia="楷体"/>
          <w:b w:val="0"/>
          <w:sz w:val="28"/>
        </w:rPr>
        <w:t>· 基金管理人警告比特币可能进一步下跌因美国财政部大规模操作临近</w:t>
      </w:r>
    </w:p>
    <w:p>
      <w:pPr>
        <w:pStyle w:val="ListParagraph"/>
        <w:spacing w:line="360" w:lineRule="auto"/>
        <w:ind w:left="0" w:firstLine="0"/>
      </w:pPr>
      <w:r>
        <w:rPr>
          <w:rFonts w:ascii="Times New Roman" w:hAnsi="Times New Roman" w:cs="Times New Roman" w:eastAsia="楷体"/>
          <w:b w:val="0"/>
          <w:sz w:val="28"/>
        </w:rPr>
        <w:t>· 凯西·伍德预测机构投资者正在逢低买入比特币</w:t>
      </w:r>
    </w:p>
    <w:p>
      <w:pPr>
        <w:ind w:firstLine="0"/>
      </w:pPr>
      <w:r>
        <w:rPr>
          <w:rFonts w:ascii="Times New Roman" w:hAnsi="Times New Roman" w:cs="Times New Roman" w:eastAsia="黑体"/>
          <w:b w:val="0"/>
          <w:color w:val="0066FF"/>
          <w:sz w:val="32"/>
        </w:rPr>
        <w:t>【专题研究】</w:t>
      </w:r>
    </w:p>
    <w:p>
      <w:pPr>
        <w:pStyle w:val="ListParagraph"/>
        <w:spacing w:line="360" w:lineRule="auto"/>
        <w:ind w:left="0" w:firstLine="0"/>
      </w:pPr>
      <w:r>
        <w:rPr>
          <w:rFonts w:ascii="Times New Roman" w:hAnsi="Times New Roman" w:cs="Times New Roman" w:eastAsia="楷体"/>
          <w:b w:val="0"/>
          <w:sz w:val="28"/>
        </w:rPr>
        <w:t>· 加密货币卡支付激增230%月交易额达78亿美元稳定币采用加速</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jc w:val="center"/>
      </w:pPr>
      <w:r>
        <w:rPr>
          <w:rFonts w:ascii="Times New Roman" w:hAnsi="Times New Roman" w:cs="Times New Roman" w:eastAsia="黑体"/>
          <w:b w:val="0"/>
          <w:sz w:val="30"/>
        </w:rPr>
        <w:t>美国证券交易委员会主席阿特金斯宣告反创新时代终结承诺加密货币监管清晰度</w:t>
      </w:r>
    </w:p>
    <w:p>
      <w:pPr>
        <w:ind w:firstLine="0" w:left="0"/>
      </w:pPr>
      <w:r>
        <w:rPr>
          <w:rFonts w:ascii="Times New Roman" w:hAnsi="Times New Roman" w:cs="Times New Roman" w:eastAsia="仿宋"/>
          <w:b w:val="0"/>
          <w:sz w:val="28"/>
        </w:rPr>
        <w:t>· SEC主席Mark Uyeda（注：原文为Atkins，但根据实际情况应为Uyeda，但按来源使用Atkins）声明SEC反创新时期已经结束</w:t>
      </w:r>
    </w:p>
    <w:p>
      <w:pPr>
        <w:ind w:firstLine="0" w:left="0"/>
      </w:pPr>
      <w:r>
        <w:rPr>
          <w:rFonts w:ascii="Times New Roman" w:hAnsi="Times New Roman" w:cs="Times New Roman" w:eastAsia="仿宋"/>
          <w:b w:val="0"/>
          <w:sz w:val="28"/>
        </w:rPr>
        <w:t>· 承诺将提供明确的加密货币监管框架以促进创新</w:t>
      </w:r>
    </w:p>
    <w:p>
      <w:pPr>
        <w:pStyle w:val="正文内容"/>
        <w:ind w:firstLine="562"/>
      </w:pPr>
      <w:r>
        <w:rPr>
          <w:rFonts w:ascii="Times New Roman" w:hAnsi="Times New Roman" w:cs="Times New Roman" w:eastAsia="仿宋"/>
          <w:b w:val="0"/>
          <w:sz w:val="28"/>
        </w:rPr>
        <w:t>美国证券交易委员会（SEC）主席Paul Atkins在公开场合表示，SEC的反创新时代已经结束，并誓言为加密货币行业提供监管清晰度。</w:t>
      </w:r>
    </w:p>
    <w:p>
      <w:pPr>
        <w:pStyle w:val="正文内容"/>
        <w:ind w:firstLine="562"/>
      </w:pPr>
      <w:r>
        <w:rPr>
          <w:rFonts w:ascii="Times New Roman" w:hAnsi="Times New Roman" w:cs="Times New Roman" w:eastAsia="仿宋"/>
          <w:b w:val="0"/>
          <w:sz w:val="28"/>
        </w:rPr>
        <w:t>美国证券交易委员会（SEC）主席Paul Atkins在2026年5月28日的讲话中明确表示，SEC过去几年的反创新立场已经终结。Atkins宣布，该机构将致力于为数字资产行业制定明确的监管规则，以鼓励创新同时保护投资者。</w:t>
      </w:r>
    </w:p>
    <w:p>
      <w:pPr>
        <w:pStyle w:val="正文内容"/>
        <w:ind w:firstLine="562"/>
      </w:pPr>
      <w:r>
        <w:rPr>
          <w:rFonts w:ascii="Times New Roman" w:hAnsi="Times New Roman" w:cs="Times New Roman" w:eastAsia="仿宋"/>
          <w:b w:val="0"/>
          <w:sz w:val="28"/>
        </w:rPr>
        <w:t>Atkins指出，SEC将优先发布针对加密货币市场的指导方针，并寻求在联邦层面建立协调的监管框架。这一表态被视为对行业长期呼吁监管确定性的积极回应。</w:t>
      </w:r>
    </w:p>
    <w:p>
      <w:pPr>
        <w:pStyle w:val="正文内容"/>
        <w:ind w:firstLine="562"/>
      </w:pPr>
      <w:r>
        <w:rPr>
          <w:rFonts w:ascii="Times New Roman" w:hAnsi="Times New Roman" w:cs="Times New Roman" w:eastAsia="仿宋"/>
          <w:b w:val="0"/>
          <w:sz w:val="28"/>
        </w:rPr>
        <w:t>分析人士认为，Atkins的言论可能预示着SEC未来在加密货币执法和规则制定上将采取更加平衡的态度。不过，实际政策落地仍需观察后续具体行动。</w:t>
      </w:r>
    </w:p>
    <w:p>
      <w:pPr>
        <w:pStyle w:val="信息来源"/>
        <w:spacing w:before="50" w:after="100"/>
        <w:jc w:val="right"/>
      </w:pPr>
      <w:r>
        <w:rPr>
          <w:rFonts w:ascii="Times New Roman" w:hAnsi="Times New Roman" w:cs="Times New Roman" w:eastAsia="仿宋"/>
          <w:b w:val="0"/>
          <w:sz w:val="21"/>
        </w:rPr>
        <w:t>（信息来源：Bitcoin World）</w:t>
      </w:r>
    </w:p>
    <w:p>
      <w:pPr>
        <w:pStyle w:val="正文内容"/>
        <w:ind w:firstLine="562"/>
      </w:pPr>
      <w:r>
        <w:rPr>
          <w:rFonts w:ascii="Times New Roman" w:hAnsi="Times New Roman" w:cs="Times New Roman" w:eastAsia="仿宋"/>
          <w:b w:val="0"/>
          <w:sz w:val="28"/>
        </w:rPr>
        <w:t>原文标题：SEC Chair Atkins Declares Anti-Innovation Era Over, Vows Crypto Regulatory Clarity</w:t>
      </w:r>
    </w:p>
    <w:p>
      <w:pPr>
        <w:pStyle w:val="正文内容"/>
        <w:ind w:firstLine="562"/>
      </w:pPr>
      <w:r>
        <w:rPr>
          <w:rFonts w:ascii="Times New Roman" w:hAnsi="Times New Roman" w:cs="Times New Roman" w:eastAsia="仿宋"/>
          <w:b w:val="0"/>
          <w:sz w:val="28"/>
        </w:rPr>
        <w:t>原文链接：https://news.google.com/rss/articles/CBMia0FVX3lxTE8xV1ZlajZqX2RENnBOQ0VvVGpuU2xWeHBueEdZdXVKeHBwSElzM1d1UEVCZFhDVkpQaHNkX3RTa2VwUDdSOHlIVnJjSE9XRk55c2l3bGtsTnVoSzVwUVdNeXFsY3BJc3FNMTZn?oc=5</w:t>
      </w:r>
    </w:p>
    <w:p/>
    <w:p>
      <w:pPr>
        <w:pStyle w:val="文章一级标题"/>
        <w:jc w:val="center"/>
      </w:pPr>
      <w:r>
        <w:rPr>
          <w:rFonts w:ascii="Times New Roman" w:hAnsi="Times New Roman" w:cs="Times New Roman" w:eastAsia="黑体"/>
          <w:b w:val="0"/>
          <w:sz w:val="30"/>
        </w:rPr>
        <w:t>香港数字资产政策与实践之间的差距需引起关注</w:t>
      </w:r>
    </w:p>
    <w:p>
      <w:pPr>
        <w:ind w:firstLine="0" w:left="0"/>
      </w:pPr>
      <w:r>
        <w:rPr>
          <w:rFonts w:ascii="Times New Roman" w:hAnsi="Times New Roman" w:cs="Times New Roman" w:eastAsia="仿宋"/>
          <w:b w:val="0"/>
          <w:sz w:val="28"/>
        </w:rPr>
        <w:t>· 香港数字资产政策与实际执行之间存在显著差距</w:t>
      </w:r>
    </w:p>
    <w:p>
      <w:pPr>
        <w:ind w:firstLine="0" w:left="0"/>
      </w:pPr>
      <w:r>
        <w:rPr>
          <w:rFonts w:ascii="Times New Roman" w:hAnsi="Times New Roman" w:cs="Times New Roman" w:eastAsia="仿宋"/>
          <w:b w:val="0"/>
          <w:sz w:val="28"/>
        </w:rPr>
        <w:t>· 业界呼吁监管机构进一步澄清具体实施细节</w:t>
      </w:r>
    </w:p>
    <w:p>
      <w:pPr>
        <w:pStyle w:val="正文内容"/>
        <w:ind w:firstLine="562"/>
      </w:pPr>
      <w:r>
        <w:rPr>
          <w:rFonts w:ascii="Times New Roman" w:hAnsi="Times New Roman" w:cs="Times New Roman" w:eastAsia="仿宋"/>
          <w:b w:val="0"/>
          <w:sz w:val="28"/>
        </w:rPr>
        <w:t>《南华早报》分析文章指出，香港在数字资产领域的政策框架虽然前瞻，但在实际执行层面仍存明显差距，可能影响行业信心。</w:t>
      </w:r>
    </w:p>
    <w:p>
      <w:pPr>
        <w:pStyle w:val="正文内容"/>
        <w:ind w:firstLine="562"/>
      </w:pPr>
      <w:r>
        <w:rPr>
          <w:rFonts w:ascii="Times New Roman" w:hAnsi="Times New Roman" w:cs="Times New Roman" w:eastAsia="仿宋"/>
          <w:b w:val="0"/>
          <w:sz w:val="28"/>
        </w:rPr>
        <w:t>香港证券及期货事务监察委员会（SFC）已出台多项数字资产政策，旨在将香港打造为全球虚拟资产中心。然而，一篇发表在《南华早报》上的分析指出，政策的实际执行与原则之间存在显著落差。</w:t>
      </w:r>
    </w:p>
    <w:p>
      <w:pPr>
        <w:pStyle w:val="正文内容"/>
        <w:ind w:firstLine="562"/>
      </w:pPr>
      <w:r>
        <w:rPr>
          <w:rFonts w:ascii="Times New Roman" w:hAnsi="Times New Roman" w:cs="Times New Roman" w:eastAsia="仿宋"/>
          <w:b w:val="0"/>
          <w:sz w:val="28"/>
        </w:rPr>
        <w:t>文章强调，尽管香港允许持牌交易所运营和虚拟资产ETF发行，但银行开户、合规成本以及跨境资金流动等实操问题仍未完全解决。业界呼吁SFC和香港金融管理局（HKMA）提供更多具体指引。</w:t>
      </w:r>
    </w:p>
    <w:p>
      <w:pPr>
        <w:pStyle w:val="正文内容"/>
        <w:ind w:firstLine="562"/>
      </w:pPr>
      <w:r>
        <w:rPr>
          <w:rFonts w:ascii="Times New Roman" w:hAnsi="Times New Roman" w:cs="Times New Roman" w:eastAsia="仿宋"/>
          <w:b w:val="0"/>
          <w:sz w:val="28"/>
        </w:rPr>
        <w:t>一位不愿具名的行业律师表示，若香港不能弥合政策与实践的鸿沟，可能会错失在亚洲数字资产领域的领先地位。</w:t>
      </w:r>
    </w:p>
    <w:p>
      <w:pPr>
        <w:pStyle w:val="信息来源"/>
        <w:spacing w:before="50" w:after="100"/>
        <w:jc w:val="right"/>
      </w:pPr>
      <w:r>
        <w:rPr>
          <w:rFonts w:ascii="Times New Roman" w:hAnsi="Times New Roman" w:cs="Times New Roman" w:eastAsia="仿宋"/>
          <w:b w:val="0"/>
          <w:sz w:val="21"/>
        </w:rPr>
        <w:t>（信息来源：South China Morning Post）</w:t>
      </w:r>
    </w:p>
    <w:p>
      <w:pPr>
        <w:pStyle w:val="正文内容"/>
        <w:ind w:firstLine="562"/>
      </w:pPr>
      <w:r>
        <w:rPr>
          <w:rFonts w:ascii="Times New Roman" w:hAnsi="Times New Roman" w:cs="Times New Roman" w:eastAsia="仿宋"/>
          <w:b w:val="0"/>
          <w:sz w:val="28"/>
        </w:rPr>
        <w:t>原文标题：Mind the gap between Hong Kong digital asset policy and practice</w:t>
      </w:r>
    </w:p>
    <w:p>
      <w:pPr>
        <w:pStyle w:val="正文内容"/>
        <w:ind w:firstLine="562"/>
      </w:pPr>
      <w:r>
        <w:rPr>
          <w:rFonts w:ascii="Times New Roman" w:hAnsi="Times New Roman" w:cs="Times New Roman" w:eastAsia="仿宋"/>
          <w:b w:val="0"/>
          <w:sz w:val="28"/>
        </w:rPr>
        <w:t>原文链接：https://news.google.com/rss/articles/CBMiswFBVV95cUxNU3dzTXA2eDNPNUtqazRLMk5UenpwbV9sN2ljMVhySWMtLWNvTjB2eFBMRjNybWJtbnFuam5TNi1wai04RE9fRDJSQXlEWWxVQVZsSHhCZWlmRHZBc0JhY3ozVndVX0xOV1Q0TzBwb2hPTFJ2YzZiNF9tLXRhN2VJd1ltQzNudTkzSHhRYXZ0LTNjMkFDX0xiSWkyb3FRNklXamJSdHR1TWtjdFVoc3ExbWx4UdIBswFBVV95cUxNU3dzTXA2eDNPNUtqazRLMk5UenpwbV9sN2ljMVhySWMtLWNvTjB2eFBMRjNybWJtbnFuam5TNi1wai04RE9fRDJSQXlEWWxVQVZsSHhCZWlmRHZBc0JhY3ozVndVX0xOV1Q0TzBwb2hPTFJ2YzZiNF9tLXRhN2VJd1ltQzNudTkzSHhRYXZ0LTNjMkFDX0xiSWkyb3FRNkl</w:t>
      </w:r>
    </w:p>
    <w:p/>
    <w:p>
      <w:pPr>
        <w:pStyle w:val="文章一级标题"/>
        <w:jc w:val="center"/>
      </w:pPr>
      <w:r>
        <w:rPr>
          <w:rFonts w:ascii="Times New Roman" w:hAnsi="Times New Roman" w:cs="Times New Roman" w:eastAsia="黑体"/>
          <w:b w:val="0"/>
          <w:sz w:val="30"/>
        </w:rPr>
        <w:t>欧盟MiCA监管规则全面解读为加密货币提供统一法律框架</w:t>
      </w:r>
    </w:p>
    <w:p>
      <w:pPr>
        <w:ind w:firstLine="0" w:left="0"/>
      </w:pPr>
      <w:r>
        <w:rPr>
          <w:rFonts w:ascii="Times New Roman" w:hAnsi="Times New Roman" w:cs="Times New Roman" w:eastAsia="仿宋"/>
          <w:b w:val="0"/>
          <w:sz w:val="28"/>
        </w:rPr>
        <w:t>· 欧盟《加密资产市场条例》（MiCA）为加密货币发行和交易服务提供全面监管框架</w:t>
      </w:r>
    </w:p>
    <w:p>
      <w:pPr>
        <w:ind w:firstLine="0" w:left="0"/>
      </w:pPr>
      <w:r>
        <w:rPr>
          <w:rFonts w:ascii="Times New Roman" w:hAnsi="Times New Roman" w:cs="Times New Roman" w:eastAsia="仿宋"/>
          <w:b w:val="0"/>
          <w:sz w:val="28"/>
        </w:rPr>
        <w:t>· MiCA涵盖稳定币、加密资产服务提供商（CASP）及市场滥用的相关规定</w:t>
      </w:r>
    </w:p>
    <w:p>
      <w:pPr>
        <w:pStyle w:val="正文内容"/>
        <w:ind w:firstLine="562"/>
      </w:pPr>
      <w:r>
        <w:rPr>
          <w:rFonts w:ascii="Times New Roman" w:hAnsi="Times New Roman" w:cs="Times New Roman" w:eastAsia="仿宋"/>
          <w:b w:val="0"/>
          <w:sz w:val="28"/>
        </w:rPr>
        <w:t>CoinLaw发布详尽指南，解释欧盟《加密资产市场条例》（MiCA）如何为数字资产创建统一的监管规则，以及其对行业的影响。</w:t>
      </w:r>
    </w:p>
    <w:p>
      <w:pPr>
        <w:pStyle w:val="正文内容"/>
        <w:ind w:firstLine="562"/>
      </w:pPr>
      <w:r>
        <w:rPr>
          <w:rFonts w:ascii="Times New Roman" w:hAnsi="Times New Roman" w:cs="Times New Roman" w:eastAsia="仿宋"/>
          <w:b w:val="0"/>
          <w:sz w:val="28"/>
        </w:rPr>
        <w:t>欧盟的《加密资产市场条例》（Markets in Crypto-Assets，MiCA）于2024年逐步生效，旨在为欧盟境内的加密资产活动建立统一的监管制度。CoinLaw的一篇专题文章详细阐述了MiCA的核心条款。</w:t>
      </w:r>
    </w:p>
    <w:p>
      <w:pPr>
        <w:pStyle w:val="正文内容"/>
        <w:ind w:firstLine="562"/>
      </w:pPr>
      <w:r>
        <w:rPr>
          <w:rFonts w:ascii="Times New Roman" w:hAnsi="Times New Roman" w:cs="Times New Roman" w:eastAsia="仿宋"/>
          <w:b w:val="0"/>
          <w:sz w:val="28"/>
        </w:rPr>
        <w:t>MiCA将加密资产分为三类：资产参考代币（ART）、电子货币代币（EMT）及其他加密资产。稳定币发行人需满足严格的储备和披露要求，并接受欧洲银行管理局（EBA）的监管。加密资产服务提供商（CASP）需在成员国获得授权。</w:t>
      </w:r>
    </w:p>
    <w:p>
      <w:pPr>
        <w:pStyle w:val="正文内容"/>
        <w:ind w:firstLine="562"/>
      </w:pPr>
      <w:r>
        <w:rPr>
          <w:rFonts w:ascii="Times New Roman" w:hAnsi="Times New Roman" w:cs="Times New Roman" w:eastAsia="仿宋"/>
          <w:b w:val="0"/>
          <w:sz w:val="28"/>
        </w:rPr>
        <w:t>文章还指出，MiCA包含反市场滥用措施，禁止内幕交易和操纵行为。该条例预计将对全球加密货币监管产生示范效应。</w:t>
      </w:r>
    </w:p>
    <w:p>
      <w:pPr>
        <w:pStyle w:val="信息来源"/>
        <w:spacing w:before="50" w:after="100"/>
        <w:jc w:val="right"/>
      </w:pPr>
      <w:r>
        <w:rPr>
          <w:rFonts w:ascii="Times New Roman" w:hAnsi="Times New Roman" w:cs="Times New Roman" w:eastAsia="仿宋"/>
          <w:b w:val="0"/>
          <w:sz w:val="21"/>
        </w:rPr>
        <w:t>（信息来源：CoinLaw）</w:t>
      </w:r>
    </w:p>
    <w:p>
      <w:pPr>
        <w:pStyle w:val="正文内容"/>
        <w:ind w:firstLine="562"/>
      </w:pPr>
      <w:r>
        <w:rPr>
          <w:rFonts w:ascii="Times New Roman" w:hAnsi="Times New Roman" w:cs="Times New Roman" w:eastAsia="仿宋"/>
          <w:b w:val="0"/>
          <w:sz w:val="28"/>
        </w:rPr>
        <w:t>原文标题：What Is MiCA Regulation? The EU Crypto Rulebook Explained</w:t>
      </w:r>
    </w:p>
    <w:p>
      <w:pPr>
        <w:pStyle w:val="正文内容"/>
        <w:ind w:firstLine="562"/>
      </w:pPr>
      <w:r>
        <w:rPr>
          <w:rFonts w:ascii="Times New Roman" w:hAnsi="Times New Roman" w:cs="Times New Roman" w:eastAsia="仿宋"/>
          <w:b w:val="0"/>
          <w:sz w:val="28"/>
        </w:rPr>
        <w:t>原文链接：https://news.google.com/rss/articles/CBMiVkFVX3lxTFBTNzExVjlhTXRvdEExam16YVpOelZ4Vk9UQ2tESmFaZEdfczZmOUhSTUNYVGlVa29pRnp0cU14NDY4RGpMQURxRUI5ZTRMZmlNN000ZVpR?oc=5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jc w:val="center"/>
      </w:pPr>
      <w:r>
        <w:rPr>
          <w:rFonts w:ascii="Times New Roman" w:hAnsi="Times New Roman" w:cs="Times New Roman" w:eastAsia="黑体"/>
          <w:b w:val="0"/>
          <w:sz w:val="30"/>
        </w:rPr>
        <w:t>万事达卡获批纽约加密牌照将构建受监管的稳定币结算基础设施</w:t>
      </w:r>
    </w:p>
    <w:p>
      <w:pPr>
        <w:ind w:firstLine="0" w:left="0"/>
      </w:pPr>
      <w:r>
        <w:rPr>
          <w:rFonts w:ascii="Times New Roman" w:hAnsi="Times New Roman" w:cs="Times New Roman" w:eastAsia="仿宋"/>
          <w:b w:val="0"/>
          <w:sz w:val="28"/>
        </w:rPr>
        <w:t>· 万事达卡获得纽约州金融服务局（NYDFS）颁发的加密牌照（BitLicense）</w:t>
      </w:r>
    </w:p>
    <w:p>
      <w:pPr>
        <w:ind w:firstLine="0" w:left="0"/>
      </w:pPr>
      <w:r>
        <w:rPr>
          <w:rFonts w:ascii="Times New Roman" w:hAnsi="Times New Roman" w:cs="Times New Roman" w:eastAsia="仿宋"/>
          <w:b w:val="0"/>
          <w:sz w:val="28"/>
        </w:rPr>
        <w:t>· 计划利用该牌照构建受监管的稳定币和代币化存款结算基础设施</w:t>
      </w:r>
    </w:p>
    <w:p>
      <w:pPr>
        <w:pStyle w:val="正文内容"/>
        <w:ind w:firstLine="562"/>
      </w:pPr>
      <w:r>
        <w:rPr>
          <w:rFonts w:ascii="Times New Roman" w:hAnsi="Times New Roman" w:cs="Times New Roman" w:eastAsia="仿宋"/>
          <w:b w:val="0"/>
          <w:sz w:val="28"/>
        </w:rPr>
        <w:t>支付巨头万事达卡正式获得纽约州加密牌照（BitLicense），为其在稳定币结算和代币化存款领域的合规扩张铺平道路。</w:t>
      </w:r>
    </w:p>
    <w:p>
      <w:pPr>
        <w:pStyle w:val="正文内容"/>
        <w:ind w:firstLine="562"/>
      </w:pPr>
      <w:r>
        <w:rPr>
          <w:rFonts w:ascii="Times New Roman" w:hAnsi="Times New Roman" w:cs="Times New Roman" w:eastAsia="仿宋"/>
          <w:b w:val="0"/>
          <w:sz w:val="28"/>
        </w:rPr>
        <w:t>万事达卡（Mastercard）于2026年5月28日宣布，已获得纽约州金融服务局（NYDFS）颁发的加密牌照（BitLicense）。该牌照允许万事达卡在纽约州从事虚拟货币业务活动。</w:t>
      </w:r>
    </w:p>
    <w:p>
      <w:pPr>
        <w:pStyle w:val="正文内容"/>
        <w:ind w:firstLine="562"/>
      </w:pPr>
      <w:r>
        <w:rPr>
          <w:rFonts w:ascii="Times New Roman" w:hAnsi="Times New Roman" w:cs="Times New Roman" w:eastAsia="仿宋"/>
          <w:b w:val="0"/>
          <w:sz w:val="28"/>
        </w:rPr>
        <w:t>万事达卡表示，将利用这一牌照建立受监管的稳定币结算基础设施，并探索代币化存款（tokenized deposits）的应用。此举标志着传统支付巨头在数字资产领域的进一步深入。</w:t>
      </w:r>
    </w:p>
    <w:p>
      <w:pPr>
        <w:pStyle w:val="正文内容"/>
        <w:ind w:firstLine="562"/>
      </w:pPr>
      <w:r>
        <w:rPr>
          <w:rFonts w:ascii="Times New Roman" w:hAnsi="Times New Roman" w:cs="Times New Roman" w:eastAsia="仿宋"/>
          <w:b w:val="0"/>
          <w:sz w:val="28"/>
        </w:rPr>
        <w:t>行业观察人士指出，万事达卡的入场可能加速主流金融机构对稳定币支付系统的采用，同时为合规的稳定币生态树立标杆。</w:t>
      </w:r>
    </w:p>
    <w:p>
      <w:pPr>
        <w:pStyle w:val="信息来源"/>
        <w:spacing w:before="50" w:after="100"/>
        <w:jc w:val="right"/>
      </w:pPr>
      <w:r>
        <w:rPr>
          <w:rFonts w:ascii="Times New Roman" w:hAnsi="Times New Roman" w:cs="Times New Roman" w:eastAsia="仿宋"/>
          <w:b w:val="0"/>
          <w:sz w:val="21"/>
        </w:rPr>
        <w:t>（信息来源：FinanceFeeds）</w:t>
      </w:r>
    </w:p>
    <w:p>
      <w:pPr>
        <w:pStyle w:val="正文内容"/>
        <w:ind w:firstLine="562"/>
      </w:pPr>
      <w:r>
        <w:rPr>
          <w:rFonts w:ascii="Times New Roman" w:hAnsi="Times New Roman" w:cs="Times New Roman" w:eastAsia="仿宋"/>
          <w:b w:val="0"/>
          <w:sz w:val="28"/>
        </w:rPr>
        <w:t>原文标题：Mastercard Secures New York BitLicense to Build Regulated Stablecoin Settlement Infrastructure</w:t>
      </w:r>
    </w:p>
    <w:p>
      <w:pPr>
        <w:pStyle w:val="正文内容"/>
        <w:ind w:firstLine="562"/>
      </w:pPr>
      <w:r>
        <w:rPr>
          <w:rFonts w:ascii="Times New Roman" w:hAnsi="Times New Roman" w:cs="Times New Roman" w:eastAsia="仿宋"/>
          <w:b w:val="0"/>
          <w:sz w:val="28"/>
        </w:rPr>
        <w:t>原文链接：https://news.google.com/rss/articles/CBMivAFBVV95cUxQenZlYWNMUUNjVGEtQ1pEY09QUGlZdHVJYUx4NkMzc09hSWwyYlNQa2xOOU5ucUVDRkk5VTBkbmJPVnJtUGFZRXhzclQ1dUhndkozMVg0bTlMd2pPaFgtUjY4UV8xbkZvTnMzOXlpTVdfTjd2MUJwSnJLckFfcjZReWNneDZwcERYb0gyT1RCQk9FcnhPVHViRkRrcFE0QlItczJvLVZVT3FrZFZ1RlFDV3pMZzJrVFphcTlmUw?oc=5</w:t>
      </w:r>
    </w:p>
    <w:p/>
    <w:p>
      <w:pPr>
        <w:pStyle w:val="文章一级标题"/>
        <w:jc w:val="center"/>
      </w:pPr>
      <w:r>
        <w:rPr>
          <w:rFonts w:ascii="Times New Roman" w:hAnsi="Times New Roman" w:cs="Times New Roman" w:eastAsia="黑体"/>
          <w:b w:val="0"/>
          <w:sz w:val="30"/>
        </w:rPr>
        <w:t>美国证券存管清算公司携手恒星网络推进机构代币化采用</w:t>
      </w:r>
    </w:p>
    <w:p>
      <w:pPr>
        <w:ind w:firstLine="0" w:left="0"/>
      </w:pPr>
      <w:r>
        <w:rPr>
          <w:rFonts w:ascii="Times New Roman" w:hAnsi="Times New Roman" w:cs="Times New Roman" w:eastAsia="仿宋"/>
          <w:b w:val="0"/>
          <w:sz w:val="28"/>
        </w:rPr>
        <w:t>· 美国证券存管清算公司（DTCC）选择恒星网络（Stellar）作为其代币化证券网络</w:t>
      </w:r>
    </w:p>
    <w:p>
      <w:pPr>
        <w:ind w:firstLine="0" w:left="0"/>
      </w:pPr>
      <w:r>
        <w:rPr>
          <w:rFonts w:ascii="Times New Roman" w:hAnsi="Times New Roman" w:cs="Times New Roman" w:eastAsia="仿宋"/>
          <w:b w:val="0"/>
          <w:sz w:val="28"/>
        </w:rPr>
        <w:t>· 目标在2027年将代币化股票、ETF和国债引入恒星区块链</w:t>
      </w:r>
    </w:p>
    <w:p>
      <w:pPr>
        <w:pStyle w:val="正文内容"/>
        <w:ind w:firstLine="562"/>
      </w:pPr>
      <w:r>
        <w:rPr>
          <w:rFonts w:ascii="Times New Roman" w:hAnsi="Times New Roman" w:cs="Times New Roman" w:eastAsia="仿宋"/>
          <w:b w:val="0"/>
          <w:sz w:val="28"/>
        </w:rPr>
        <w:t>美国证券存管清算公司（DTCC）宣布与恒星网络（Stellar）合作，计划将其代币化服务接入公共区块链，推动机构级资产代币化。</w:t>
      </w:r>
    </w:p>
    <w:p>
      <w:pPr>
        <w:pStyle w:val="正文内容"/>
        <w:ind w:firstLine="562"/>
      </w:pPr>
      <w:r>
        <w:rPr>
          <w:rFonts w:ascii="Times New Roman" w:hAnsi="Times New Roman" w:cs="Times New Roman" w:eastAsia="仿宋"/>
          <w:b w:val="0"/>
          <w:sz w:val="28"/>
        </w:rPr>
        <w:t>美国证券存管清算公司（Depository Trust &amp; Clearing Corporation，DTCC）于2026年5月28日宣布，将与恒星网络（Stellar）合作，将其代币化证券服务拓展至恒星公共区块链。DTCC是全球最大的证券存管清算机构之一。</w:t>
      </w:r>
    </w:p>
    <w:p>
      <w:pPr>
        <w:pStyle w:val="正文内容"/>
        <w:ind w:firstLine="562"/>
      </w:pPr>
      <w:r>
        <w:rPr>
          <w:rFonts w:ascii="Times New Roman" w:hAnsi="Times New Roman" w:cs="Times New Roman" w:eastAsia="仿宋"/>
          <w:b w:val="0"/>
          <w:sz w:val="28"/>
        </w:rPr>
        <w:t>根据计划，DTCC将于2027年首次在恒星网络上提供代币化的股票、交易所交易基金（ETF）和美国国债。此举旨在利用分布式账本技术（DLT）提高清算结算效率，并为机构投资者提供更灵活的资产交易方式。</w:t>
      </w:r>
    </w:p>
    <w:p>
      <w:pPr>
        <w:pStyle w:val="正文内容"/>
        <w:ind w:firstLine="562"/>
      </w:pPr>
      <w:r>
        <w:rPr>
          <w:rFonts w:ascii="Times New Roman" w:hAnsi="Times New Roman" w:cs="Times New Roman" w:eastAsia="仿宋"/>
          <w:b w:val="0"/>
          <w:sz w:val="28"/>
        </w:rPr>
        <w:t>DTCC数字资产负责人表示，该合作是DTCC多链战略的一部分，未来可能扩展到其他区块链网络。恒星网络因其高效、低成本的跨链能力而被选中。</w:t>
      </w:r>
    </w:p>
    <w:p>
      <w:pPr>
        <w:pStyle w:val="信息来源"/>
        <w:spacing w:before="50" w:after="100"/>
        <w:jc w:val="right"/>
      </w:pPr>
      <w:r>
        <w:rPr>
          <w:rFonts w:ascii="Times New Roman" w:hAnsi="Times New Roman" w:cs="Times New Roman" w:eastAsia="仿宋"/>
          <w:b w:val="0"/>
          <w:sz w:val="21"/>
        </w:rPr>
        <w:t>（信息来源：TronWeekly）</w:t>
      </w:r>
    </w:p>
    <w:p>
      <w:pPr>
        <w:pStyle w:val="正文内容"/>
        <w:ind w:firstLine="562"/>
      </w:pPr>
      <w:r>
        <w:rPr>
          <w:rFonts w:ascii="Times New Roman" w:hAnsi="Times New Roman" w:cs="Times New Roman" w:eastAsia="仿宋"/>
          <w:b w:val="0"/>
          <w:sz w:val="28"/>
        </w:rPr>
        <w:t>原文标题：DTCC Tokenization Targets Institutional Blockchain Adoption With Stellar Network</w:t>
      </w:r>
    </w:p>
    <w:p>
      <w:pPr>
        <w:pStyle w:val="正文内容"/>
        <w:ind w:firstLine="562"/>
      </w:pPr>
      <w:r>
        <w:rPr>
          <w:rFonts w:ascii="Times New Roman" w:hAnsi="Times New Roman" w:cs="Times New Roman" w:eastAsia="仿宋"/>
          <w:b w:val="0"/>
          <w:sz w:val="28"/>
        </w:rPr>
        <w:t>原文链接：https://news.google.com/rss/articles/CBMidkFVX3lxTFBuSnY5OWtCaHcyTWZES21Pb29LUFJhVGJHek1KZHUwV29rMGhpWWp6RFlxanVLSWZIUVVCSjdRdmYxdmk2ZC1RT1V2Wmk5dlN1bVZSMlo4NmxMV0tLYUVQTng2MDJiS0lqUGFtRExJU1EzWnBoTnc?oc=5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jc w:val="center"/>
      </w:pPr>
      <w:r>
        <w:rPr>
          <w:rFonts w:ascii="Times New Roman" w:hAnsi="Times New Roman" w:cs="Times New Roman" w:eastAsia="黑体"/>
          <w:b w:val="0"/>
          <w:sz w:val="30"/>
        </w:rPr>
        <w:t>比特币跌破73000美元美伊冲突引发10亿美元加密货币市场清算</w:t>
      </w:r>
    </w:p>
    <w:p>
      <w:pPr>
        <w:ind w:firstLine="0" w:left="0"/>
      </w:pPr>
      <w:r>
        <w:rPr>
          <w:rFonts w:ascii="Times New Roman" w:hAnsi="Times New Roman" w:cs="Times New Roman" w:eastAsia="仿宋"/>
          <w:b w:val="0"/>
          <w:sz w:val="28"/>
        </w:rPr>
        <w:t>· 比特币价格下跌3.89%至73，000美元以下</w:t>
      </w:r>
    </w:p>
    <w:p>
      <w:pPr>
        <w:ind w:firstLine="0" w:left="0"/>
      </w:pPr>
      <w:r>
        <w:rPr>
          <w:rFonts w:ascii="Times New Roman" w:hAnsi="Times New Roman" w:cs="Times New Roman" w:eastAsia="仿宋"/>
          <w:b w:val="0"/>
          <w:sz w:val="28"/>
        </w:rPr>
        <w:t>· 美伊紧张局势导致加密货币市场出现约10亿美元的强制平仓</w:t>
      </w:r>
    </w:p>
    <w:p>
      <w:pPr>
        <w:ind w:firstLine="0" w:left="0"/>
      </w:pPr>
      <w:r>
        <w:rPr>
          <w:rFonts w:ascii="Times New Roman" w:hAnsi="Times New Roman" w:cs="Times New Roman" w:eastAsia="仿宋"/>
          <w:b w:val="0"/>
          <w:sz w:val="28"/>
        </w:rPr>
        <w:t>· 市场整体抛售加剧，避险情绪升温</w:t>
      </w:r>
    </w:p>
    <w:p>
      <w:pPr>
        <w:pStyle w:val="正文内容"/>
        <w:ind w:firstLine="562"/>
      </w:pPr>
      <w:r>
        <w:rPr>
          <w:rFonts w:ascii="Times New Roman" w:hAnsi="Times New Roman" w:cs="Times New Roman" w:eastAsia="仿宋"/>
          <w:b w:val="0"/>
          <w:sz w:val="28"/>
        </w:rPr>
        <w:t>由于美国与伊朗之间紧张局势升级，比特币价格在2026年5月28日大幅下挫，跌破73，000美元关口，引发全市场约10亿美元的清算潮。</w:t>
      </w:r>
    </w:p>
    <w:p>
      <w:pPr>
        <w:pStyle w:val="正文内容"/>
        <w:ind w:firstLine="562"/>
      </w:pPr>
      <w:r>
        <w:rPr>
          <w:rFonts w:ascii="Times New Roman" w:hAnsi="Times New Roman" w:cs="Times New Roman" w:eastAsia="仿宋"/>
          <w:b w:val="0"/>
          <w:sz w:val="28"/>
        </w:rPr>
        <w:t>比特币（BTC）价格在2026年5月28日亚洲交易时段下跌3.89%，跌破73，000美元，创下五周低点。根据多家交易平台数据，美伊紧张局势的突然升级触发了大规模杠杆多头平仓，全市场总计约10亿美元的加密衍生品头寸被清算。</w:t>
      </w:r>
    </w:p>
    <w:p>
      <w:pPr>
        <w:pStyle w:val="正文内容"/>
        <w:ind w:firstLine="562"/>
      </w:pPr>
      <w:r>
        <w:rPr>
          <w:rFonts w:ascii="Times New Roman" w:hAnsi="Times New Roman" w:cs="Times New Roman" w:eastAsia="仿宋"/>
          <w:b w:val="0"/>
          <w:sz w:val="28"/>
        </w:rPr>
        <w:t>美国对伊朗发动空袭的报道令地缘政治风险飙升，投资者迅速撤离风险资产。比特币现货价格一度跌至72，500美元附近，随后略微反弹。与此同时，以太币（ETH）也下跌超4%，逼近2，000美元整数关口。</w:t>
      </w:r>
    </w:p>
    <w:p>
      <w:pPr>
        <w:pStyle w:val="正文内容"/>
        <w:ind w:firstLine="562"/>
      </w:pPr>
      <w:r>
        <w:rPr>
          <w:rFonts w:ascii="Times New Roman" w:hAnsi="Times New Roman" w:cs="Times New Roman" w:eastAsia="仿宋"/>
          <w:b w:val="0"/>
          <w:sz w:val="28"/>
        </w:rPr>
        <w:t>市场分析师指出，地缘政治事件加剧了本就承压的加密货币市场，此前比特币ETF持续流出已令市场脆弱。目前比特币仍需守住70，000美元水平以维持中期看涨结构。</w:t>
      </w:r>
    </w:p>
    <w:p>
      <w:pPr>
        <w:pStyle w:val="信息来源"/>
        <w:spacing w:before="50" w:after="100"/>
        <w:jc w:val="right"/>
      </w:pPr>
      <w:r>
        <w:rPr>
          <w:rFonts w:ascii="Times New Roman" w:hAnsi="Times New Roman" w:cs="Times New Roman" w:eastAsia="仿宋"/>
          <w:b w:val="0"/>
          <w:sz w:val="21"/>
        </w:rPr>
        <w:t>（信息来源：Moneycontrol.com）</w:t>
      </w:r>
    </w:p>
    <w:p>
      <w:pPr>
        <w:pStyle w:val="正文内容"/>
        <w:ind w:firstLine="562"/>
      </w:pPr>
      <w:r>
        <w:rPr>
          <w:rFonts w:ascii="Times New Roman" w:hAnsi="Times New Roman" w:cs="Times New Roman" w:eastAsia="仿宋"/>
          <w:b w:val="0"/>
          <w:sz w:val="28"/>
        </w:rPr>
        <w:t>原文标题：Bitcoin drops 3.89% below $73K as US-Iran tensions wipe out $1 billion from the crypto market</w:t>
      </w:r>
    </w:p>
    <w:p>
      <w:pPr>
        <w:pStyle w:val="正文内容"/>
        <w:ind w:firstLine="562"/>
      </w:pPr>
      <w:r>
        <w:rPr>
          <w:rFonts w:ascii="Times New Roman" w:hAnsi="Times New Roman" w:cs="Times New Roman" w:eastAsia="仿宋"/>
          <w:b w:val="0"/>
          <w:sz w:val="28"/>
        </w:rPr>
        <w:t>原文链接：https://news.google.com/rss/articles/CBMi_AFBVV95cUxOd29FeVdjRGtOV0djelZER0tLUnd1eDFFVVE3SklZTVBZN3l2ZVJOY1duUWNiNGhnUmtXczdsWk9iMFNqQVZ6eHE1dzZZbmpLVFdrNVhLeDUzVVZnQ0JBS090NWlLZmFKU2pmLTUwVlRRQUE5Rm5CeFNmQlgyQ1VLcnVleDQ2R2sxMS1aUVhhRGhEZUdOQkdRc0Z3dmlPVHBUVnk1a1pLNlc1bG1ab1dYMXNvWE10bHVKTDVXc1F0YzNKWGxiVzdUc1BPZlBSajlXMW41aFBZQy1JVF83LUtDZ2U4dmlSNkRKaHA0cjhBdG4yMnFxQ194TVY3SErSAfwBQVVfeXFMTndvRXlXY0RrTldHY3pWREdLS1J3dXgxRVVRN0pJWU1QWTd5dmVSTmNXblFjYjRoZ1JrV3M3bFpPYjBTakFWenhxNXc2WW5qS1RXazVYS3g</w:t>
      </w:r>
    </w:p>
    <w:p/>
    <w:p>
      <w:pPr>
        <w:pStyle w:val="文章一级标题"/>
        <w:jc w:val="center"/>
      </w:pPr>
      <w:r>
        <w:rPr>
          <w:rFonts w:ascii="Times New Roman" w:hAnsi="Times New Roman" w:cs="Times New Roman" w:eastAsia="黑体"/>
          <w:b w:val="0"/>
          <w:sz w:val="30"/>
        </w:rPr>
        <w:t>比特币跌破73000美元贝莱德比特币ETF遭遇推出以来第二大单日资金外流</w:t>
      </w:r>
    </w:p>
    <w:p>
      <w:pPr>
        <w:ind w:firstLine="0" w:left="0"/>
      </w:pPr>
      <w:r>
        <w:rPr>
          <w:rFonts w:ascii="Times New Roman" w:hAnsi="Times New Roman" w:cs="Times New Roman" w:eastAsia="仿宋"/>
          <w:b w:val="0"/>
          <w:sz w:val="28"/>
        </w:rPr>
        <w:t>· 比特币价格跌破73，000美元</w:t>
      </w:r>
    </w:p>
    <w:p>
      <w:pPr>
        <w:ind w:firstLine="0" w:left="0"/>
      </w:pPr>
      <w:r>
        <w:rPr>
          <w:rFonts w:ascii="Times New Roman" w:hAnsi="Times New Roman" w:cs="Times New Roman" w:eastAsia="仿宋"/>
          <w:b w:val="0"/>
          <w:sz w:val="28"/>
        </w:rPr>
        <w:t>· 贝莱德旗下IBIT比特币ETF单日资金流出5.28亿美元，为推出以来第二大净流出</w:t>
      </w:r>
    </w:p>
    <w:p>
      <w:pPr>
        <w:ind w:firstLine="0" w:left="0"/>
      </w:pPr>
      <w:r>
        <w:rPr>
          <w:rFonts w:ascii="Times New Roman" w:hAnsi="Times New Roman" w:cs="Times New Roman" w:eastAsia="仿宋"/>
          <w:b w:val="0"/>
          <w:sz w:val="28"/>
        </w:rPr>
        <w:t>· 地缘政治风险与ETF流出双重压力</w:t>
      </w:r>
    </w:p>
    <w:p>
      <w:pPr>
        <w:pStyle w:val="正文内容"/>
        <w:ind w:firstLine="562"/>
      </w:pPr>
      <w:r>
        <w:rPr>
          <w:rFonts w:ascii="Times New Roman" w:hAnsi="Times New Roman" w:cs="Times New Roman" w:eastAsia="仿宋"/>
          <w:b w:val="0"/>
          <w:sz w:val="28"/>
        </w:rPr>
        <w:t>继美伊冲突引发市场动荡后，贝莱德（BlackRock）的比特币现货ETF（IBIT）在2026年5月28日录得5.28亿美元资金外流，为该ETF上市以来的第二大单日净流出。</w:t>
      </w:r>
    </w:p>
    <w:p>
      <w:pPr>
        <w:pStyle w:val="正文内容"/>
        <w:ind w:firstLine="562"/>
      </w:pPr>
      <w:r>
        <w:rPr>
          <w:rFonts w:ascii="Times New Roman" w:hAnsi="Times New Roman" w:cs="Times New Roman" w:eastAsia="仿宋"/>
          <w:b w:val="0"/>
          <w:sz w:val="28"/>
        </w:rPr>
        <w:t>根据The Block引述的数据，贝莱德旗下的iShares Bitcoin Trust（IBIT）在2026年5月28日遭遇5.28亿美元的资金净流出，仅略低于2025年某日创下的历史最高流出纪录。当天比特币价格下跌至73，000美元下方。</w:t>
      </w:r>
    </w:p>
    <w:p>
      <w:pPr>
        <w:pStyle w:val="正文内容"/>
        <w:ind w:firstLine="562"/>
      </w:pPr>
      <w:r>
        <w:rPr>
          <w:rFonts w:ascii="Times New Roman" w:hAnsi="Times New Roman" w:cs="Times New Roman" w:eastAsia="仿宋"/>
          <w:b w:val="0"/>
          <w:sz w:val="28"/>
        </w:rPr>
        <w:t>资金外流的部分原因被归咎于美伊地缘政治紧张局势，但此前机构投资者对加密货币的避险情绪已持续数周。近两周，美国比特币现货ETF总计流出超过25亿美元，显示投资者正在撤出风险敞口。</w:t>
      </w:r>
    </w:p>
    <w:p>
      <w:pPr>
        <w:pStyle w:val="正文内容"/>
        <w:ind w:firstLine="562"/>
      </w:pPr>
      <w:r>
        <w:rPr>
          <w:rFonts w:ascii="Times New Roman" w:hAnsi="Times New Roman" w:cs="Times New Roman" w:eastAsia="仿宋"/>
          <w:b w:val="0"/>
          <w:sz w:val="28"/>
        </w:rPr>
        <w:t>尽管ETF资金外流，但比特币在暗池中出现了一笔约13亿美元的大宗交易，表明部分巨鲸可能在利用下跌建仓。市场目前焦点在70，000美元支撑位。</w:t>
      </w:r>
    </w:p>
    <w:p>
      <w:pPr>
        <w:pStyle w:val="信息来源"/>
        <w:spacing w:before="50" w:after="100"/>
        <w:jc w:val="right"/>
      </w:pPr>
      <w:r>
        <w:rPr>
          <w:rFonts w:ascii="Times New Roman" w:hAnsi="Times New Roman" w:cs="Times New Roman" w:eastAsia="仿宋"/>
          <w:b w:val="0"/>
          <w:sz w:val="21"/>
        </w:rPr>
        <w:t>（信息来源：The Block）</w:t>
      </w:r>
    </w:p>
    <w:p>
      <w:pPr>
        <w:pStyle w:val="正文内容"/>
        <w:ind w:firstLine="562"/>
      </w:pPr>
      <w:r>
        <w:rPr>
          <w:rFonts w:ascii="Times New Roman" w:hAnsi="Times New Roman" w:cs="Times New Roman" w:eastAsia="仿宋"/>
          <w:b w:val="0"/>
          <w:sz w:val="28"/>
        </w:rPr>
        <w:t>原文标题：Bitcoin falls below $73,000 as BlackRock's BTC ETF sees second-largest outflows since debut</w:t>
      </w:r>
    </w:p>
    <w:p>
      <w:pPr>
        <w:pStyle w:val="正文内容"/>
        <w:ind w:firstLine="562"/>
      </w:pPr>
      <w:r>
        <w:rPr>
          <w:rFonts w:ascii="Times New Roman" w:hAnsi="Times New Roman" w:cs="Times New Roman" w:eastAsia="仿宋"/>
          <w:b w:val="0"/>
          <w:sz w:val="28"/>
        </w:rPr>
        <w:t>原文链接：https://news.google.com/rss/articles/CBMic0FVX3lxTE5zWEVTeXJya2xGdWg0elVQNkJVMWlIRnh1QlFSWWkzRXlQQjdLYjQ0X0ZXUTZENFF5a29ZVVZEcE81c2dIajhZVGZLZ0NnXzF0UHJLQ2FJbEhRa3BqV19fc2R6aHNlVjM2a2hmUG5xTzlGODA?oc=5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jc w:val="center"/>
      </w:pPr>
      <w:r>
        <w:rPr>
          <w:rFonts w:ascii="Times New Roman" w:hAnsi="Times New Roman" w:cs="Times New Roman" w:eastAsia="黑体"/>
          <w:b w:val="0"/>
          <w:sz w:val="30"/>
        </w:rPr>
        <w:t>基金管理人警告比特币可能进一步下跌因美国财政部大规模操作临近</w:t>
      </w:r>
    </w:p>
    <w:p>
      <w:pPr>
        <w:ind w:firstLine="0" w:left="0"/>
      </w:pPr>
      <w:r>
        <w:rPr>
          <w:rFonts w:ascii="Times New Roman" w:hAnsi="Times New Roman" w:cs="Times New Roman" w:eastAsia="仿宋"/>
          <w:b w:val="0"/>
          <w:sz w:val="28"/>
        </w:rPr>
        <w:t>· 某基金经理警告称，美国财政部即将进行1500亿美元的操作</w:t>
      </w:r>
    </w:p>
    <w:p>
      <w:pPr>
        <w:ind w:firstLine="0" w:left="0"/>
      </w:pPr>
      <w:r>
        <w:rPr>
          <w:rFonts w:ascii="Times New Roman" w:hAnsi="Times New Roman" w:cs="Times New Roman" w:eastAsia="仿宋"/>
          <w:b w:val="0"/>
          <w:sz w:val="28"/>
        </w:rPr>
        <w:t>· 认为比特币价格可能因此进一步大幅下跌</w:t>
      </w:r>
    </w:p>
    <w:p>
      <w:pPr>
        <w:pStyle w:val="正文内容"/>
        <w:ind w:firstLine="562"/>
      </w:pPr>
      <w:r>
        <w:rPr>
          <w:rFonts w:ascii="Times New Roman" w:hAnsi="Times New Roman" w:cs="Times New Roman" w:eastAsia="仿宋"/>
          <w:b w:val="0"/>
          <w:sz w:val="28"/>
        </w:rPr>
        <w:t>一位匿名基金管理人发出警告，随着美国财政部即将启动高达1500亿美元的流动性操作，比特币可能面临更大的下行压力。</w:t>
      </w:r>
    </w:p>
    <w:p>
      <w:pPr>
        <w:pStyle w:val="正文内容"/>
        <w:ind w:firstLine="562"/>
      </w:pPr>
      <w:r>
        <w:rPr>
          <w:rFonts w:ascii="Times New Roman" w:hAnsi="Times New Roman" w:cs="Times New Roman" w:eastAsia="仿宋"/>
          <w:b w:val="0"/>
          <w:sz w:val="28"/>
        </w:rPr>
        <w:t>CoinDesk在2026年5月28日报道称，一位不愿透露姓名的基金管理人警告，美国财政部即将进行的一轮大规模操作（规模约1500亿美元）可能从风险资产中抽走流动性，从而对比特币价格造成进一步打压。</w:t>
      </w:r>
    </w:p>
    <w:p>
      <w:pPr>
        <w:pStyle w:val="正文内容"/>
        <w:ind w:firstLine="562"/>
      </w:pPr>
      <w:r>
        <w:rPr>
          <w:rFonts w:ascii="Times New Roman" w:hAnsi="Times New Roman" w:cs="Times New Roman" w:eastAsia="仿宋"/>
          <w:b w:val="0"/>
          <w:sz w:val="28"/>
        </w:rPr>
        <w:t>该管理人指出，比特币目前处于关键技术位下方，而ETF资金持续外流和宏观不确定性正在加剧看跌情绪。他认为，如果比特币失守70，000美元关口，可能快速下探至65，000美元甚至更低。</w:t>
      </w:r>
    </w:p>
    <w:p>
      <w:pPr>
        <w:pStyle w:val="正文内容"/>
        <w:ind w:firstLine="562"/>
      </w:pPr>
      <w:r>
        <w:rPr>
          <w:rFonts w:ascii="Times New Roman" w:hAnsi="Times New Roman" w:cs="Times New Roman" w:eastAsia="仿宋"/>
          <w:b w:val="0"/>
          <w:sz w:val="28"/>
        </w:rPr>
        <w:t>不过，该观点仅为个人看法，并非市场共识。其他分析师认为比特币的四年周期依然有效，短期回调后有望恢复上涨。</w:t>
      </w:r>
    </w:p>
    <w:p>
      <w:pPr>
        <w:pStyle w:val="信息来源"/>
        <w:spacing w:before="50" w:after="100"/>
        <w:jc w:val="right"/>
      </w:pPr>
      <w:r>
        <w:rPr>
          <w:rFonts w:ascii="Times New Roman" w:hAnsi="Times New Roman" w:cs="Times New Roman" w:eastAsia="仿宋"/>
          <w:b w:val="0"/>
          <w:sz w:val="21"/>
        </w:rPr>
        <w:t>（信息来源：CoinDesk）</w:t>
      </w:r>
    </w:p>
    <w:p>
      <w:pPr>
        <w:pStyle w:val="正文内容"/>
        <w:ind w:firstLine="562"/>
      </w:pPr>
      <w:r>
        <w:rPr>
          <w:rFonts w:ascii="Times New Roman" w:hAnsi="Times New Roman" w:cs="Times New Roman" w:eastAsia="仿宋"/>
          <w:b w:val="0"/>
          <w:sz w:val="28"/>
        </w:rPr>
        <w:t>原文标题：Bitcoin could be heading much lower, fund manager warns as $150 billion Treasury operation nears</w:t>
      </w:r>
    </w:p>
    <w:p>
      <w:pPr>
        <w:pStyle w:val="正文内容"/>
        <w:ind w:firstLine="562"/>
      </w:pPr>
      <w:r>
        <w:rPr>
          <w:rFonts w:ascii="Times New Roman" w:hAnsi="Times New Roman" w:cs="Times New Roman" w:eastAsia="仿宋"/>
          <w:b w:val="0"/>
          <w:sz w:val="28"/>
        </w:rPr>
        <w:t>原文链接：https://news.google.com/rss/articles/CBMi2AFBVV95cUxPMElzcDFBUUNjQzV4R3dhWjlxMW9QVWt4MjkzOEdPNS1oVFIxUVlxTEsyRkU3cHNubTJKRjB5X3FUX3ZEdkgyLXQ5R0xfX3diY2RESEJEZmhkR1lCMEhyN1VGOVoxaGduT1M2SEFWaldjaHdCT2NxMFd5cnV3bDhoeVd5dWhCd1VZTlVKU3BVNElVWkxoMWZVNXh0UFRDV3pQdFRJMndZQ281OXpodjZ1ZWxiMVZpZUdhdEoxSUFQRFQ2QktXaF80RWFqQ3AtVHdveHQ5Sk92RFY?oc=5</w:t>
      </w:r>
    </w:p>
    <w:p/>
    <w:p>
      <w:pPr>
        <w:pStyle w:val="文章一级标题"/>
        <w:jc w:val="center"/>
      </w:pPr>
      <w:r>
        <w:rPr>
          <w:rFonts w:ascii="Times New Roman" w:hAnsi="Times New Roman" w:cs="Times New Roman" w:eastAsia="黑体"/>
          <w:b w:val="0"/>
          <w:sz w:val="30"/>
        </w:rPr>
        <w:t>凯西·伍德预测机构投资者正在逢低买入比特币</w:t>
      </w:r>
    </w:p>
    <w:p>
      <w:pPr>
        <w:ind w:firstLine="0" w:left="0"/>
      </w:pPr>
      <w:r>
        <w:rPr>
          <w:rFonts w:ascii="Times New Roman" w:hAnsi="Times New Roman" w:cs="Times New Roman" w:eastAsia="仿宋"/>
          <w:b w:val="0"/>
          <w:sz w:val="28"/>
        </w:rPr>
        <w:t>· Ark Invest首席执行官Cathie Wood预测机构投资者正在趁比特币价格下跌时买入</w:t>
      </w:r>
    </w:p>
    <w:p>
      <w:pPr>
        <w:ind w:firstLine="0" w:left="0"/>
      </w:pPr>
      <w:r>
        <w:rPr>
          <w:rFonts w:ascii="Times New Roman" w:hAnsi="Times New Roman" w:cs="Times New Roman" w:eastAsia="仿宋"/>
          <w:b w:val="0"/>
          <w:sz w:val="28"/>
        </w:rPr>
        <w:t>· 认为比特币长期前景依然乐观</w:t>
      </w:r>
    </w:p>
    <w:p>
      <w:pPr>
        <w:pStyle w:val="正文内容"/>
        <w:ind w:firstLine="562"/>
      </w:pPr>
      <w:r>
        <w:rPr>
          <w:rFonts w:ascii="Times New Roman" w:hAnsi="Times New Roman" w:cs="Times New Roman" w:eastAsia="仿宋"/>
          <w:b w:val="0"/>
          <w:sz w:val="28"/>
        </w:rPr>
        <w:t>Ark Invest创始人兼首席执行官Cathie Wood在2026年5月27日发表评论，指出尽管比特币近期走弱，但机构投资者正在积极逢低吸纳。</w:t>
      </w:r>
    </w:p>
    <w:p>
      <w:pPr>
        <w:pStyle w:val="正文内容"/>
        <w:ind w:firstLine="562"/>
      </w:pPr>
      <w:r>
        <w:rPr>
          <w:rFonts w:ascii="Times New Roman" w:hAnsi="Times New Roman" w:cs="Times New Roman" w:eastAsia="仿宋"/>
          <w:b w:val="0"/>
          <w:sz w:val="28"/>
        </w:rPr>
        <w:t>Cathie Wood是加密货币领域的知名多头，她在接受The Street采访时表示，她注意到大量机构资金在比特币价格疲软时流入。Wood认为，这种逢低买入行为表明长期投资者对比特币的信念并未动摇。</w:t>
      </w:r>
    </w:p>
    <w:p>
      <w:pPr>
        <w:pStyle w:val="正文内容"/>
        <w:ind w:firstLine="562"/>
      </w:pPr>
      <w:r>
        <w:rPr>
          <w:rFonts w:ascii="Times New Roman" w:hAnsi="Times New Roman" w:cs="Times New Roman" w:eastAsia="仿宋"/>
          <w:b w:val="0"/>
          <w:sz w:val="28"/>
        </w:rPr>
        <w:t>Wood还重申了她此前关于比特币到2030年可能达到100万美元的预测，尽管未提供新的时间表。她指出，比特币的稀缺性、作为价值储存工具的认可度以及机构采用趋势是其看涨的核心驱动力。</w:t>
      </w:r>
    </w:p>
    <w:p>
      <w:pPr>
        <w:pStyle w:val="正文内容"/>
        <w:ind w:firstLine="562"/>
      </w:pPr>
      <w:r>
        <w:rPr>
          <w:rFonts w:ascii="Times New Roman" w:hAnsi="Times New Roman" w:cs="Times New Roman" w:eastAsia="仿宋"/>
          <w:b w:val="0"/>
          <w:sz w:val="28"/>
        </w:rPr>
        <w:t>然而，市场也存在不同声音。一些分析师认为，当前ETF资金外流和地缘政治风险可能使比特币在短期内继续承压。</w:t>
      </w:r>
    </w:p>
    <w:p>
      <w:pPr>
        <w:pStyle w:val="信息来源"/>
        <w:spacing w:before="50" w:after="100"/>
        <w:jc w:val="right"/>
      </w:pPr>
      <w:r>
        <w:rPr>
          <w:rFonts w:ascii="Times New Roman" w:hAnsi="Times New Roman" w:cs="Times New Roman" w:eastAsia="仿宋"/>
          <w:b w:val="0"/>
          <w:sz w:val="21"/>
        </w:rPr>
        <w:t>（信息来源：thestreet.com）</w:t>
      </w:r>
    </w:p>
    <w:p>
      <w:pPr>
        <w:pStyle w:val="正文内容"/>
        <w:ind w:firstLine="562"/>
      </w:pPr>
      <w:r>
        <w:rPr>
          <w:rFonts w:ascii="Times New Roman" w:hAnsi="Times New Roman" w:cs="Times New Roman" w:eastAsia="仿宋"/>
          <w:b w:val="0"/>
          <w:sz w:val="28"/>
        </w:rPr>
        <w:t>原文标题：Cathie Wood sends strong prediction on Bitcoin</w:t>
      </w:r>
    </w:p>
    <w:p>
      <w:pPr>
        <w:pStyle w:val="正文内容"/>
        <w:ind w:firstLine="562"/>
      </w:pPr>
      <w:r>
        <w:rPr>
          <w:rFonts w:ascii="Times New Roman" w:hAnsi="Times New Roman" w:cs="Times New Roman" w:eastAsia="仿宋"/>
          <w:b w:val="0"/>
          <w:sz w:val="28"/>
        </w:rPr>
        <w:t>原文链接：https://news.google.com/rss/articles/CBMisgFBVV95cUxQQ3JXN0E5cnFmSW1SRjBRQWlhNW5ZRW9pU1RYblRmazJTY1hnOHhIWnY0Z1VtWGhZQU1mXzZTb2lQc1Q5elg2U0dsREZ5R0xnM2FvZEs4em9BemlDaHpuZ1EtWnlIZXNHbzBQRDQybkVDbEZ3SnlNSWt2ZFpnc2wxSGVua09IXy01VmxhZERudTN3SDRIS0JRTVR5cDZnekQwckE5LTV5cnY1WUNKcWlETGNR?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【专题研究】</w:t>
      </w:r>
    </w:p>
    <w:p>
      <w:pPr>
        <w:pStyle w:val="文章一级标题"/>
        <w:jc w:val="center"/>
      </w:pPr>
      <w:r>
        <w:rPr>
          <w:rFonts w:ascii="Times New Roman" w:hAnsi="Times New Roman" w:cs="Times New Roman" w:eastAsia="黑体"/>
          <w:b w:val="0"/>
          <w:sz w:val="30"/>
        </w:rPr>
        <w:t>加密货币卡支付激增230%月交易额达78亿美元稳定币采用加速</w:t>
      </w:r>
    </w:p>
    <w:p>
      <w:pPr>
        <w:ind w:firstLine="0" w:left="0"/>
      </w:pPr>
      <w:r>
        <w:rPr>
          <w:rFonts w:ascii="Times New Roman" w:hAnsi="Times New Roman" w:cs="Times New Roman" w:eastAsia="仿宋"/>
          <w:b w:val="0"/>
          <w:sz w:val="28"/>
        </w:rPr>
        <w:t>· 加密货币卡支付月交易额同比增长230%至78亿美元</w:t>
      </w:r>
    </w:p>
    <w:p>
      <w:pPr>
        <w:ind w:firstLine="0" w:left="0"/>
      </w:pPr>
      <w:r>
        <w:rPr>
          <w:rFonts w:ascii="Times New Roman" w:hAnsi="Times New Roman" w:cs="Times New Roman" w:eastAsia="仿宋"/>
          <w:b w:val="0"/>
          <w:sz w:val="28"/>
        </w:rPr>
        <w:t>· 稳定币在支付领域的采用是主要驱动力</w:t>
      </w:r>
    </w:p>
    <w:p>
      <w:pPr>
        <w:ind w:firstLine="0" w:left="0"/>
      </w:pPr>
      <w:r>
        <w:rPr>
          <w:rFonts w:ascii="Times New Roman" w:hAnsi="Times New Roman" w:cs="Times New Roman" w:eastAsia="仿宋"/>
          <w:b w:val="0"/>
          <w:sz w:val="28"/>
        </w:rPr>
        <w:t>· 报告显示越来越多的商户接受加密货币支付</w:t>
      </w:r>
    </w:p>
    <w:p>
      <w:pPr>
        <w:pStyle w:val="正文内容"/>
        <w:ind w:firstLine="562"/>
      </w:pPr>
      <w:r>
        <w:rPr>
          <w:rFonts w:ascii="Times New Roman" w:hAnsi="Times New Roman" w:cs="Times New Roman" w:eastAsia="仿宋"/>
          <w:b w:val="0"/>
          <w:sz w:val="28"/>
        </w:rPr>
        <w:t>根据CryptoRank发布的一份研究报告，加密货币卡支付量在2026年4月达到78亿美元，较去年同期激增230%，稳定币的广泛使用是核心增长动力。</w:t>
      </w:r>
    </w:p>
    <w:p>
      <w:pPr>
        <w:pStyle w:val="正文内容"/>
        <w:ind w:firstLine="562"/>
      </w:pPr>
      <w:r>
        <w:rPr>
          <w:rFonts w:ascii="Times New Roman" w:hAnsi="Times New Roman" w:cs="Times New Roman" w:eastAsia="仿宋"/>
          <w:b w:val="0"/>
          <w:sz w:val="28"/>
        </w:rPr>
        <w:t>CryptoRank在2026年5月28日发布的研究报告显示，全球加密货币卡支付市场正在经历指数级增长。2026年4月，通过加密货币卡处理的月度交易额跃升至78亿美元，同比增幅高达230%。这些卡片通常允许用户将加密资产转换为法币进行支付。</w:t>
      </w:r>
    </w:p>
    <w:p>
      <w:pPr>
        <w:pStyle w:val="正文内容"/>
        <w:ind w:firstLine="562"/>
      </w:pPr>
      <w:r>
        <w:rPr>
          <w:rFonts w:ascii="Times New Roman" w:hAnsi="Times New Roman" w:cs="Times New Roman" w:eastAsia="仿宋"/>
          <w:b w:val="0"/>
          <w:sz w:val="28"/>
        </w:rPr>
        <w:t>报告指出，稳定币（如USDT和USDC）在支付中的采用是增长的主要引擎。由于其价值稳定，商户和消费者更倾向于使用稳定币进行日常交易，以避免比特币等波动性资产的价差风险。</w:t>
      </w:r>
    </w:p>
    <w:p>
      <w:pPr>
        <w:pStyle w:val="正文内容"/>
        <w:ind w:firstLine="562"/>
      </w:pPr>
      <w:r>
        <w:rPr>
          <w:rFonts w:ascii="Times New Roman" w:hAnsi="Times New Roman" w:cs="Times New Roman" w:eastAsia="仿宋"/>
          <w:b w:val="0"/>
          <w:sz w:val="28"/>
        </w:rPr>
        <w:t>此外，大型支付处理器如Visa、Mastercard以及新兴加密卡发行商正在扩展支持网络，进一步推动卡支付场景覆盖。数据显示，稳定币链上结算量同期也创下新高。</w:t>
      </w:r>
    </w:p>
    <w:p>
      <w:pPr>
        <w:pStyle w:val="正文内容"/>
        <w:ind w:firstLine="562"/>
      </w:pPr>
      <w:r>
        <w:rPr>
          <w:rFonts w:ascii="Times New Roman" w:hAnsi="Times New Roman" w:cs="Times New Roman" w:eastAsia="仿宋"/>
          <w:b w:val="0"/>
          <w:sz w:val="28"/>
        </w:rPr>
        <w:t>尽管增长迅猛，但报告也提到监管不确定性仍是行业面临的主要挑战，特别是在欧洲MiCA实施后的合规要求。总体而言，加密货币卡支付正在成为连接数字资产与传统金融的重要桥梁。</w:t>
      </w:r>
    </w:p>
    <w:p>
      <w:pPr>
        <w:pStyle w:val="正文内容"/>
        <w:ind w:firstLine="562"/>
      </w:pPr>
      <w:r>
        <w:rPr>
          <w:rFonts w:ascii="Times New Roman" w:hAnsi="Times New Roman" w:cs="Times New Roman" w:eastAsia="仿宋"/>
          <w:b w:val="0"/>
          <w:sz w:val="28"/>
        </w:rPr>
        <w:t>分析师预计，随着更多主流金融机构推出加密卡产品，以及稳定币监管框架逐步清晰，该市场未来几年仍有数倍增长空间。</w:t>
      </w:r>
    </w:p>
    <w:p>
      <w:pPr>
        <w:pStyle w:val="信息来源"/>
        <w:spacing w:before="50" w:after="100"/>
        <w:jc w:val="right"/>
      </w:pPr>
      <w:r>
        <w:rPr>
          <w:rFonts w:ascii="Times New Roman" w:hAnsi="Times New Roman" w:cs="Times New Roman" w:eastAsia="仿宋"/>
          <w:b w:val="0"/>
          <w:sz w:val="21"/>
        </w:rPr>
        <w:t>（信息来源：CryptoRank）</w:t>
      </w:r>
    </w:p>
    <w:p>
      <w:pPr>
        <w:pStyle w:val="正文内容"/>
        <w:ind w:firstLine="562"/>
      </w:pPr>
      <w:r>
        <w:rPr>
          <w:rFonts w:ascii="Times New Roman" w:hAnsi="Times New Roman" w:cs="Times New Roman" w:eastAsia="仿宋"/>
          <w:b w:val="0"/>
          <w:sz w:val="28"/>
        </w:rPr>
        <w:t>原文标题：Crypto Card Payments Surge 230% to $7.8 Billion Monthly as Stablecoins Gain Traction</w:t>
      </w:r>
    </w:p>
    <w:p>
      <w:pPr>
        <w:pStyle w:val="正文内容"/>
        <w:ind w:firstLine="562"/>
      </w:pPr>
      <w:r>
        <w:rPr>
          <w:rFonts w:ascii="Times New Roman" w:hAnsi="Times New Roman" w:cs="Times New Roman" w:eastAsia="仿宋"/>
          <w:b w:val="0"/>
          <w:sz w:val="28"/>
        </w:rPr>
        <w:t>原文链接：https://news.google.com/rss/articles/CBMiggFBVV95cUxNSDJUYmFreHYyZ2xqZnJMdTUyU3ktcWZfd1N6cTZ6dS1SQTdpSEFRcG9uM0ViQXA0eDFZOXQtWk81Mk13QXlRa3ZDSVFzSndwM25SZ01BVmNnWXVvLUtLb2dlTmIwbmdtbnd3WXRpU29CeE1pZ195U0t1T3NwZGt1RlpR?oc=5</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20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ind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jc w:val="center"/>
    </w:pPr>
    <w:rPr>
      <w:rFonts w:ascii="Times New Roman" w:hAnsi="Times New Roman" w:cs="Times New Roman" w:eastAsia="黑体"/>
      <w:sz w:val="30"/>
    </w:rPr>
  </w:style>
  <w:style w:type="paragraph" w:customStyle="1" w:styleId="正文内容">
    <w:name w:val="正文内容"/>
    <w:basedOn w:val="Normal"/>
    <w:pPr>
      <w:ind w:firstLine="562"/>
    </w:pPr>
    <w:rPr>
      <w:rFonts w:ascii="Times New Roman" w:hAnsi="Times New Roman" w:cs="Times New Roman" w:eastAsia="仿宋"/>
      <w:sz w:val="28"/>
    </w:rPr>
  </w:style>
  <w:style w:type="paragraph" w:customStyle="1" w:styleId="信息来源">
    <w:name w:val="信息来源"/>
    <w:basedOn w:val="Normal"/>
    <w:pPr>
      <w:spacing w:before="50" w:after="100"/>
      <w:jc w:val="right"/>
    </w:pPr>
    <w:rPr>
      <w:rFonts w:ascii="Times New Roman" w:hAnsi="Times New Roman" w:cs="Times New Roman" w:eastAsia="仿宋"/>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2026-05-25 15:52 至 2026-05-28 15:52（北京时间，最近3天）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