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rFonts w:ascii="Times New Roman" w:hAnsi="Times New Roman" w:cs="Times New Roman" w:eastAsia="黑体"/>
          <w:b w:val="0"/>
          <w:sz w:val="32"/>
        </w:rPr>
        <w:t>目  录</w:t>
      </w:r>
    </w:p>
    <w:p>
      <w:pPr>
        <w:ind w:firstLine="0"/>
      </w:pPr>
      <w:r>
        <w:rPr>
          <w:rFonts w:ascii="Times New Roman" w:hAnsi="Times New Roman" w:cs="Times New Roman" w:eastAsia="黑体"/>
          <w:b w:val="0"/>
          <w:color w:val="0066FF"/>
          <w:sz w:val="32"/>
        </w:rPr>
        <w:t>【政策风向】</w:t>
      </w:r>
    </w:p>
    <w:p>
      <w:pPr>
        <w:pStyle w:val="ListParagraph"/>
        <w:spacing w:line="360" w:lineRule="auto"/>
        <w:ind w:left="0" w:firstLine="0"/>
      </w:pPr>
      <w:r>
        <w:rPr>
          <w:rFonts w:ascii="Times New Roman" w:hAnsi="Times New Roman" w:cs="Times New Roman" w:eastAsia="楷体"/>
          <w:b w:val="0"/>
          <w:sz w:val="28"/>
        </w:rPr>
        <w:t>· SEC主席Atkins宣布反创新时代终结并承诺加密监管清晰度</w:t>
      </w:r>
    </w:p>
    <w:p>
      <w:pPr>
        <w:pStyle w:val="ListParagraph"/>
        <w:spacing w:line="360" w:lineRule="auto"/>
        <w:ind w:left="0" w:firstLine="0"/>
      </w:pPr>
      <w:r>
        <w:rPr>
          <w:rFonts w:ascii="Times New Roman" w:hAnsi="Times New Roman" w:cs="Times New Roman" w:eastAsia="楷体"/>
          <w:b w:val="0"/>
          <w:sz w:val="28"/>
        </w:rPr>
        <w:t>· 香港数字资产政策与实践之间存在差距</w:t>
      </w:r>
    </w:p>
    <w:p>
      <w:pPr>
        <w:pStyle w:val="ListParagraph"/>
        <w:spacing w:line="360" w:lineRule="auto"/>
        <w:ind w:left="0" w:firstLine="0"/>
      </w:pPr>
      <w:r>
        <w:rPr>
          <w:rFonts w:ascii="Times New Roman" w:hAnsi="Times New Roman" w:cs="Times New Roman" w:eastAsia="楷体"/>
          <w:b w:val="0"/>
          <w:sz w:val="28"/>
        </w:rPr>
        <w:t>· 欧盟MiCA法规详解加密资产监管规则手册</w:t>
      </w:r>
    </w:p>
    <w:p>
      <w:pPr>
        <w:ind w:firstLine="0"/>
      </w:pPr>
      <w:r>
        <w:rPr>
          <w:rFonts w:ascii="Times New Roman" w:hAnsi="Times New Roman" w:cs="Times New Roman" w:eastAsia="黑体"/>
          <w:b w:val="0"/>
          <w:color w:val="0066FF"/>
          <w:sz w:val="32"/>
        </w:rPr>
        <w:t>【行业前沿】</w:t>
      </w:r>
    </w:p>
    <w:p>
      <w:pPr>
        <w:pStyle w:val="ListParagraph"/>
        <w:spacing w:line="360" w:lineRule="auto"/>
        <w:ind w:left="0" w:firstLine="0"/>
      </w:pPr>
      <w:r>
        <w:rPr>
          <w:rFonts w:ascii="Times New Roman" w:hAnsi="Times New Roman" w:cs="Times New Roman" w:eastAsia="楷体"/>
          <w:b w:val="0"/>
          <w:sz w:val="28"/>
        </w:rPr>
        <w:t>· 万事达卡获得纽约BitLicense打造受监管稳定币结算基础设施</w:t>
      </w:r>
    </w:p>
    <w:p>
      <w:pPr>
        <w:pStyle w:val="ListParagraph"/>
        <w:spacing w:line="360" w:lineRule="auto"/>
        <w:ind w:left="0" w:firstLine="0"/>
      </w:pPr>
      <w:r>
        <w:rPr>
          <w:rFonts w:ascii="Times New Roman" w:hAnsi="Times New Roman" w:cs="Times New Roman" w:eastAsia="楷体"/>
          <w:b w:val="0"/>
          <w:sz w:val="28"/>
        </w:rPr>
        <w:t>· DTCC代币化目标利用Stellar网络推动机构级区块链应用</w:t>
      </w:r>
    </w:p>
    <w:p>
      <w:pPr>
        <w:ind w:firstLine="0"/>
      </w:pPr>
      <w:r>
        <w:rPr>
          <w:rFonts w:ascii="Times New Roman" w:hAnsi="Times New Roman" w:cs="Times New Roman" w:eastAsia="黑体"/>
          <w:b w:val="0"/>
          <w:color w:val="0066FF"/>
          <w:sz w:val="32"/>
        </w:rPr>
        <w:t>【市场动态】</w:t>
      </w:r>
    </w:p>
    <w:p>
      <w:pPr>
        <w:pStyle w:val="ListParagraph"/>
        <w:spacing w:line="360" w:lineRule="auto"/>
        <w:ind w:left="0" w:firstLine="0"/>
      </w:pPr>
      <w:r>
        <w:rPr>
          <w:rFonts w:ascii="Times New Roman" w:hAnsi="Times New Roman" w:cs="Times New Roman" w:eastAsia="楷体"/>
          <w:b w:val="0"/>
          <w:sz w:val="28"/>
        </w:rPr>
        <w:t>· 美国现货比特币ETF流出天数延续至八日净流出7.33亿美元</w:t>
      </w:r>
    </w:p>
    <w:p>
      <w:pPr>
        <w:pStyle w:val="ListParagraph"/>
        <w:spacing w:line="360" w:lineRule="auto"/>
        <w:ind w:left="0" w:firstLine="0"/>
      </w:pPr>
      <w:r>
        <w:rPr>
          <w:rFonts w:ascii="Times New Roman" w:hAnsi="Times New Roman" w:cs="Times New Roman" w:eastAsia="楷体"/>
          <w:b w:val="0"/>
          <w:sz w:val="28"/>
        </w:rPr>
        <w:t>· 比特币跌破7.3万美元美伊紧张局势引发加密市场10亿美元清算</w:t>
      </w:r>
    </w:p>
    <w:p>
      <w:pPr>
        <w:ind w:firstLine="0"/>
      </w:pPr>
      <w:r>
        <w:rPr>
          <w:rFonts w:ascii="Times New Roman" w:hAnsi="Times New Roman" w:cs="Times New Roman" w:eastAsia="黑体"/>
          <w:b w:val="0"/>
          <w:color w:val="0066FF"/>
          <w:sz w:val="32"/>
        </w:rPr>
        <w:t>【意见领袖】</w:t>
      </w:r>
    </w:p>
    <w:p>
      <w:pPr>
        <w:pStyle w:val="ListParagraph"/>
        <w:spacing w:line="360" w:lineRule="auto"/>
        <w:ind w:left="0" w:firstLine="0"/>
      </w:pPr>
      <w:r>
        <w:rPr>
          <w:rFonts w:ascii="Times New Roman" w:hAnsi="Times New Roman" w:cs="Times New Roman" w:eastAsia="楷体"/>
          <w:b w:val="0"/>
          <w:sz w:val="28"/>
        </w:rPr>
        <w:t>· 加密CEO表示比特币四年周期规律仍在发挥作用</w:t>
      </w:r>
    </w:p>
    <w:p>
      <w:pPr>
        <w:pStyle w:val="ListParagraph"/>
        <w:spacing w:line="360" w:lineRule="auto"/>
        <w:ind w:left="0" w:firstLine="0"/>
      </w:pPr>
      <w:r>
        <w:rPr>
          <w:rFonts w:ascii="Times New Roman" w:hAnsi="Times New Roman" w:cs="Times New Roman" w:eastAsia="楷体"/>
          <w:b w:val="0"/>
          <w:sz w:val="28"/>
        </w:rPr>
        <w:t>· 基金经理警告比特币可能进一步下跌因1500亿美元国债操作即将到来</w:t>
      </w:r>
    </w:p>
    <w:p>
      <w:pPr>
        <w:ind w:firstLine="0"/>
      </w:pPr>
      <w:r>
        <w:rPr>
          <w:rFonts w:ascii="Times New Roman" w:hAnsi="Times New Roman" w:cs="Times New Roman" w:eastAsia="黑体"/>
          <w:b w:val="0"/>
          <w:color w:val="0066FF"/>
          <w:sz w:val="32"/>
        </w:rPr>
        <w:t>【专题研究】</w:t>
      </w:r>
    </w:p>
    <w:p>
      <w:pPr>
        <w:pStyle w:val="ListParagraph"/>
        <w:spacing w:line="360" w:lineRule="auto"/>
        <w:ind w:left="0" w:firstLine="0"/>
      </w:pPr>
      <w:r>
        <w:rPr>
          <w:rFonts w:ascii="Times New Roman" w:hAnsi="Times New Roman" w:cs="Times New Roman" w:eastAsia="楷体"/>
          <w:b w:val="0"/>
          <w:sz w:val="28"/>
        </w:rPr>
        <w:t>· 加密卡支付月交易额激增230%达78亿美元稳定币采用推动增长</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【政策风向】</w:t>
      </w:r>
    </w:p>
    <w:p>
      <w:pPr>
        <w:pStyle w:val="文章一级标题"/>
        <w:jc w:val="center"/>
      </w:pPr>
      <w:r>
        <w:rPr>
          <w:rFonts w:ascii="Times New Roman" w:hAnsi="Times New Roman" w:cs="Times New Roman" w:eastAsia="黑体"/>
          <w:b w:val="0"/>
          <w:sz w:val="30"/>
        </w:rPr>
        <w:t>SEC主席Atkins宣布反创新时代终结并承诺加密监管清晰度</w:t>
      </w:r>
    </w:p>
    <w:p>
      <w:pPr>
        <w:ind w:firstLine="0" w:left="0"/>
      </w:pPr>
      <w:r>
        <w:rPr>
          <w:rFonts w:ascii="Times New Roman" w:hAnsi="Times New Roman" w:cs="Times New Roman" w:eastAsia="仿宋"/>
          <w:b w:val="0"/>
          <w:sz w:val="28"/>
        </w:rPr>
        <w:t>· SEC主席Atkins声明针对加密货币的反创新时代已结束</w:t>
      </w:r>
    </w:p>
    <w:p>
      <w:pPr>
        <w:ind w:firstLine="0" w:left="0"/>
      </w:pPr>
      <w:r>
        <w:rPr>
          <w:rFonts w:ascii="Times New Roman" w:hAnsi="Times New Roman" w:cs="Times New Roman" w:eastAsia="仿宋"/>
          <w:b w:val="0"/>
          <w:sz w:val="28"/>
        </w:rPr>
        <w:t>· Atkins承诺将推动出台清晰的监管规则</w:t>
      </w:r>
    </w:p>
    <w:p>
      <w:pPr>
        <w:pStyle w:val="正文内容"/>
        <w:ind w:firstLine="562"/>
      </w:pPr>
      <w:r>
        <w:rPr>
          <w:rFonts w:ascii="Times New Roman" w:hAnsi="Times New Roman" w:cs="Times New Roman" w:eastAsia="仿宋"/>
          <w:b w:val="0"/>
          <w:sz w:val="28"/>
        </w:rPr>
        <w:t>SEC主席Atkins宣告反创新时代终结，并承诺为加密货币行业提供明确的监管框架。</w:t>
      </w:r>
    </w:p>
    <w:p>
      <w:pPr>
        <w:pStyle w:val="正文内容"/>
        <w:ind w:firstLine="562"/>
      </w:pPr>
      <w:r>
        <w:rPr>
          <w:rFonts w:ascii="Times New Roman" w:hAnsi="Times New Roman" w:cs="Times New Roman" w:eastAsia="仿宋"/>
          <w:b w:val="0"/>
          <w:sz w:val="28"/>
        </w:rPr>
        <w:t>美国证券交易委员会（SEC， Securities and Exchange Commission）主席Atkins在一次公开声明中表示，针对加密货币行业的“反创新时代”已经结束。</w:t>
      </w:r>
    </w:p>
    <w:p>
      <w:pPr>
        <w:pStyle w:val="正文内容"/>
        <w:ind w:firstLine="562"/>
      </w:pPr>
      <w:r>
        <w:rPr>
          <w:rFonts w:ascii="Times New Roman" w:hAnsi="Times New Roman" w:cs="Times New Roman" w:eastAsia="仿宋"/>
          <w:b w:val="0"/>
          <w:sz w:val="28"/>
        </w:rPr>
        <w:t>Atkins承诺将致力于为数字资产领域提供更明确和一致的监管规则，以促进行业健康发展。</w:t>
      </w:r>
    </w:p>
    <w:p>
      <w:pPr>
        <w:pStyle w:val="正文内容"/>
        <w:ind w:firstLine="562"/>
      </w:pPr>
      <w:r>
        <w:rPr>
          <w:rFonts w:ascii="Times New Roman" w:hAnsi="Times New Roman" w:cs="Times New Roman" w:eastAsia="仿宋"/>
          <w:b w:val="0"/>
          <w:sz w:val="28"/>
        </w:rPr>
        <w:t>这一表态被视为美国监管机构对加密资产态度转变的重要信号，市场普遍期待后续具体政策的落地。</w:t>
      </w:r>
    </w:p>
    <w:p>
      <w:pPr>
        <w:pStyle w:val="信息来源"/>
        <w:spacing w:before="50" w:after="100"/>
        <w:jc w:val="right"/>
      </w:pPr>
      <w:r>
        <w:rPr>
          <w:rFonts w:ascii="Times New Roman" w:hAnsi="Times New Roman" w:cs="Times New Roman" w:eastAsia="仿宋"/>
          <w:b w:val="0"/>
          <w:sz w:val="21"/>
        </w:rPr>
        <w:t>（信息来源：Bitcoin World）</w:t>
      </w:r>
    </w:p>
    <w:p>
      <w:pPr>
        <w:pStyle w:val="正文内容"/>
        <w:ind w:firstLine="562"/>
      </w:pPr>
      <w:r>
        <w:rPr>
          <w:rFonts w:ascii="Times New Roman" w:hAnsi="Times New Roman" w:cs="Times New Roman" w:eastAsia="仿宋"/>
          <w:b w:val="0"/>
          <w:sz w:val="28"/>
        </w:rPr>
        <w:t>原文标题：SEC Chair Atkins Declares Anti-Innovation Era Over, Vows Crypto Regulatory Clarity</w:t>
      </w:r>
    </w:p>
    <w:p>
      <w:pPr>
        <w:pStyle w:val="正文内容"/>
        <w:ind w:firstLine="562"/>
      </w:pPr>
      <w:r>
        <w:rPr>
          <w:rFonts w:ascii="Times New Roman" w:hAnsi="Times New Roman" w:cs="Times New Roman" w:eastAsia="仿宋"/>
          <w:b w:val="0"/>
          <w:sz w:val="28"/>
        </w:rPr>
        <w:t>原文链接：https://news.google.com/rss/articles/CBMia0FVX3lxTE8xV1ZlajZqX2RENnBOQ0VvVGpuU2xWeHBueEdZdXVKeHBwSElzM1d1UEVCZFhDVkpQaHNkX3RTa2VwUDdSOHlIVnJjSE9XRk55c2l3bGtsTnVoSzVwUVdNeXFsY3BJc3FNMTZn?oc=5</w:t>
      </w:r>
    </w:p>
    <w:p/>
    <w:p>
      <w:pPr>
        <w:pStyle w:val="文章一级标题"/>
        <w:jc w:val="center"/>
      </w:pPr>
      <w:r>
        <w:rPr>
          <w:rFonts w:ascii="Times New Roman" w:hAnsi="Times New Roman" w:cs="Times New Roman" w:eastAsia="黑体"/>
          <w:b w:val="0"/>
          <w:sz w:val="30"/>
        </w:rPr>
        <w:t>香港数字资产政策与实践之间存在差距</w:t>
      </w:r>
    </w:p>
    <w:p>
      <w:pPr>
        <w:ind w:firstLine="0" w:left="0"/>
      </w:pPr>
      <w:r>
        <w:rPr>
          <w:rFonts w:ascii="Times New Roman" w:hAnsi="Times New Roman" w:cs="Times New Roman" w:eastAsia="仿宋"/>
          <w:b w:val="0"/>
          <w:sz w:val="28"/>
        </w:rPr>
        <w:t>· 香港数字资产政策与实际操作存在落差</w:t>
      </w:r>
    </w:p>
    <w:p>
      <w:pPr>
        <w:ind w:firstLine="0" w:left="0"/>
      </w:pPr>
      <w:r>
        <w:rPr>
          <w:rFonts w:ascii="Times New Roman" w:hAnsi="Times New Roman" w:cs="Times New Roman" w:eastAsia="仿宋"/>
          <w:b w:val="0"/>
          <w:sz w:val="28"/>
        </w:rPr>
        <w:t>· 需弥合监管框架与市场实践之间的鸿沟</w:t>
      </w:r>
    </w:p>
    <w:p>
      <w:pPr>
        <w:pStyle w:val="正文内容"/>
        <w:ind w:firstLine="562"/>
      </w:pPr>
      <w:r>
        <w:rPr>
          <w:rFonts w:ascii="Times New Roman" w:hAnsi="Times New Roman" w:cs="Times New Roman" w:eastAsia="仿宋"/>
          <w:b w:val="0"/>
          <w:sz w:val="28"/>
        </w:rPr>
        <w:t>南华早报分析指出，香港在数字资产领域的政策制定与市场实践之间仍存在明显差距。</w:t>
      </w:r>
    </w:p>
    <w:p>
      <w:pPr>
        <w:pStyle w:val="正文内容"/>
        <w:ind w:firstLine="562"/>
      </w:pPr>
      <w:r>
        <w:rPr>
          <w:rFonts w:ascii="Times New Roman" w:hAnsi="Times New Roman" w:cs="Times New Roman" w:eastAsia="仿宋"/>
          <w:b w:val="0"/>
          <w:sz w:val="28"/>
        </w:rPr>
        <w:t>据《南华早报》报道，尽管香港已推出多项数字资产相关政策，但实际执行层面仍面临挑战。</w:t>
      </w:r>
    </w:p>
    <w:p>
      <w:pPr>
        <w:pStyle w:val="正文内容"/>
        <w:ind w:firstLine="562"/>
      </w:pPr>
      <w:r>
        <w:rPr>
          <w:rFonts w:ascii="Times New Roman" w:hAnsi="Times New Roman" w:cs="Times New Roman" w:eastAsia="仿宋"/>
          <w:b w:val="0"/>
          <w:sz w:val="28"/>
        </w:rPr>
        <w:t>分析认为，监管框架与市场实践之间的差距可能影响香港作为虚拟资产枢纽的竞争力。</w:t>
      </w:r>
    </w:p>
    <w:p>
      <w:pPr>
        <w:pStyle w:val="正文内容"/>
        <w:ind w:firstLine="562"/>
      </w:pPr>
      <w:r>
        <w:rPr>
          <w:rFonts w:ascii="Times New Roman" w:hAnsi="Times New Roman" w:cs="Times New Roman" w:eastAsia="仿宋"/>
          <w:b w:val="0"/>
          <w:sz w:val="28"/>
        </w:rPr>
        <w:t>行业参与者呼吁监管机构进一步细化规则，以平衡创新促进与风险防范。</w:t>
      </w:r>
    </w:p>
    <w:p>
      <w:pPr>
        <w:pStyle w:val="信息来源"/>
        <w:spacing w:before="50" w:after="100"/>
        <w:jc w:val="right"/>
      </w:pPr>
      <w:r>
        <w:rPr>
          <w:rFonts w:ascii="Times New Roman" w:hAnsi="Times New Roman" w:cs="Times New Roman" w:eastAsia="仿宋"/>
          <w:b w:val="0"/>
          <w:sz w:val="21"/>
        </w:rPr>
        <w:t>（信息来源：South China Morning Post）</w:t>
      </w:r>
    </w:p>
    <w:p>
      <w:pPr>
        <w:pStyle w:val="正文内容"/>
        <w:ind w:firstLine="562"/>
      </w:pPr>
      <w:r>
        <w:rPr>
          <w:rFonts w:ascii="Times New Roman" w:hAnsi="Times New Roman" w:cs="Times New Roman" w:eastAsia="仿宋"/>
          <w:b w:val="0"/>
          <w:sz w:val="28"/>
        </w:rPr>
        <w:t>原文标题：Mind the gap between Hong Kong digital asset policy and practice</w:t>
      </w:r>
    </w:p>
    <w:p>
      <w:pPr>
        <w:pStyle w:val="正文内容"/>
        <w:ind w:firstLine="562"/>
      </w:pPr>
      <w:r>
        <w:rPr>
          <w:rFonts w:ascii="Times New Roman" w:hAnsi="Times New Roman" w:cs="Times New Roman" w:eastAsia="仿宋"/>
          <w:b w:val="0"/>
          <w:sz w:val="28"/>
        </w:rPr>
        <w:t>原文链接：https://news.google.com/rss/articles/CBMiswFBVV95cUxNU3dzTXA2eDNPNUtqazRLMk5UenpwbV9sN2ljMVhySWMtLWNvTjB2eFBMRjNybWJtbnFuam5TNi1wai04RE9fRDJSQXlEWWxVQVZsSHhCZWlmRHZBc0JhY3ozVndVX0xOV1Q0TzBwb2hPTFJ2YzZiNF9tLXRhN2VJd1ltQzNudTkzSHhRYXZ0LTNjMkFDX0xiSWkyb3FRNklXamJSdHR1TWtjdFVoc3ExbWx4UdIBswFBVV95cUxNU3dzTXA2eDNPNUtqazRLMk5UenpwbV9sN2ljMVhySWMtLWNvTjB2eFBMRjNybWJtbnFuam5TNi1wai04RE9fRDJSQXlEWWxVQVZsSHhCZWlmRHZBc0JhY3ozVndVX0xOV1Q0TzBwb2hPTFJ2YzZiNF9tLXRhN2VJd1ltQzNudTkzSHhRYXZ0LTNjMkFDX0xiSWkyb3FRNkl</w:t>
      </w:r>
    </w:p>
    <w:p/>
    <w:p>
      <w:pPr>
        <w:pStyle w:val="文章一级标题"/>
        <w:jc w:val="center"/>
      </w:pPr>
      <w:r>
        <w:rPr>
          <w:rFonts w:ascii="Times New Roman" w:hAnsi="Times New Roman" w:cs="Times New Roman" w:eastAsia="黑体"/>
          <w:b w:val="0"/>
          <w:sz w:val="30"/>
        </w:rPr>
        <w:t>欧盟MiCA法规详解加密资产监管规则手册</w:t>
      </w:r>
    </w:p>
    <w:p>
      <w:pPr>
        <w:ind w:firstLine="0" w:left="0"/>
      </w:pPr>
      <w:r>
        <w:rPr>
          <w:rFonts w:ascii="Times New Roman" w:hAnsi="Times New Roman" w:cs="Times New Roman" w:eastAsia="仿宋"/>
          <w:b w:val="0"/>
          <w:sz w:val="28"/>
        </w:rPr>
        <w:t>· MiCA是欧盟针对加密资产的全面监管框架</w:t>
      </w:r>
    </w:p>
    <w:p>
      <w:pPr>
        <w:ind w:firstLine="0" w:left="0"/>
      </w:pPr>
      <w:r>
        <w:rPr>
          <w:rFonts w:ascii="Times New Roman" w:hAnsi="Times New Roman" w:cs="Times New Roman" w:eastAsia="仿宋"/>
          <w:b w:val="0"/>
          <w:sz w:val="28"/>
        </w:rPr>
        <w:t>· 涵盖稳定币发行和加密资产服务提供商等核心规则</w:t>
      </w:r>
    </w:p>
    <w:p>
      <w:pPr>
        <w:pStyle w:val="正文内容"/>
        <w:ind w:firstLine="562"/>
      </w:pPr>
      <w:r>
        <w:rPr>
          <w:rFonts w:ascii="Times New Roman" w:hAnsi="Times New Roman" w:cs="Times New Roman" w:eastAsia="仿宋"/>
          <w:b w:val="0"/>
          <w:sz w:val="28"/>
        </w:rPr>
        <w:t>CoinLaw发布指南，详细解释欧盟《加密资产市场法规》（MiCA）的监管框架。</w:t>
      </w:r>
    </w:p>
    <w:p>
      <w:pPr>
        <w:pStyle w:val="正文内容"/>
        <w:ind w:firstLine="562"/>
      </w:pPr>
      <w:r>
        <w:rPr>
          <w:rFonts w:ascii="Times New Roman" w:hAnsi="Times New Roman" w:cs="Times New Roman" w:eastAsia="仿宋"/>
          <w:b w:val="0"/>
          <w:sz w:val="28"/>
        </w:rPr>
        <w:t>CoinLaw发布文章系统介绍欧盟《加密资产市场法规》（MiCA， Markets in Crypto-Assets），该法规被视为欧盟数字资产监管的基石。</w:t>
      </w:r>
    </w:p>
    <w:p>
      <w:pPr>
        <w:pStyle w:val="正文内容"/>
        <w:ind w:firstLine="562"/>
      </w:pPr>
      <w:r>
        <w:rPr>
          <w:rFonts w:ascii="Times New Roman" w:hAnsi="Times New Roman" w:cs="Times New Roman" w:eastAsia="仿宋"/>
          <w:b w:val="0"/>
          <w:sz w:val="28"/>
        </w:rPr>
        <w:t>MiCA为稳定币发行、加密资产服务提供商（CASP， Crypto Asset Service Provider）等制定了统一的合规要求。</w:t>
      </w:r>
    </w:p>
    <w:p>
      <w:pPr>
        <w:pStyle w:val="正文内容"/>
        <w:ind w:firstLine="562"/>
      </w:pPr>
      <w:r>
        <w:rPr>
          <w:rFonts w:ascii="Times New Roman" w:hAnsi="Times New Roman" w:cs="Times New Roman" w:eastAsia="仿宋"/>
          <w:b w:val="0"/>
          <w:sz w:val="28"/>
        </w:rPr>
        <w:t>该法规旨在保护投资者、维护金融稳定，同时促进创新，为欧盟成员国提供一致的监管标准。</w:t>
      </w:r>
    </w:p>
    <w:p>
      <w:pPr>
        <w:pStyle w:val="信息来源"/>
        <w:spacing w:before="50" w:after="100"/>
        <w:jc w:val="right"/>
      </w:pPr>
      <w:r>
        <w:rPr>
          <w:rFonts w:ascii="Times New Roman" w:hAnsi="Times New Roman" w:cs="Times New Roman" w:eastAsia="仿宋"/>
          <w:b w:val="0"/>
          <w:sz w:val="21"/>
        </w:rPr>
        <w:t>（信息来源：CoinLaw）</w:t>
      </w:r>
    </w:p>
    <w:p>
      <w:pPr>
        <w:pStyle w:val="正文内容"/>
        <w:ind w:firstLine="562"/>
      </w:pPr>
      <w:r>
        <w:rPr>
          <w:rFonts w:ascii="Times New Roman" w:hAnsi="Times New Roman" w:cs="Times New Roman" w:eastAsia="仿宋"/>
          <w:b w:val="0"/>
          <w:sz w:val="28"/>
        </w:rPr>
        <w:t>原文标题：What Is MiCA Regulation? The EU Crypto Rulebook Explained</w:t>
      </w:r>
    </w:p>
    <w:p>
      <w:pPr>
        <w:pStyle w:val="正文内容"/>
        <w:ind w:firstLine="562"/>
      </w:pPr>
      <w:r>
        <w:rPr>
          <w:rFonts w:ascii="Times New Roman" w:hAnsi="Times New Roman" w:cs="Times New Roman" w:eastAsia="仿宋"/>
          <w:b w:val="0"/>
          <w:sz w:val="28"/>
        </w:rPr>
        <w:t>原文链接：https://news.google.com/rss/articles/CBMiVkFVX3lxTFBTNzExVjlhTXRvdEExam16YVpOelZ4Vk9UQ2tESmFaZEdfczZmOUhSTUNYVGlVa29pRnp0cU14NDY4RGpMQURxRUI5ZTRMZmlNN000ZVpR?oc=5</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【行业前沿】</w:t>
      </w:r>
    </w:p>
    <w:p>
      <w:pPr>
        <w:pStyle w:val="文章一级标题"/>
        <w:jc w:val="center"/>
      </w:pPr>
      <w:r>
        <w:rPr>
          <w:rFonts w:ascii="Times New Roman" w:hAnsi="Times New Roman" w:cs="Times New Roman" w:eastAsia="黑体"/>
          <w:b w:val="0"/>
          <w:sz w:val="30"/>
        </w:rPr>
        <w:t>万事达卡获得纽约BitLicense打造受监管稳定币结算基础设施</w:t>
      </w:r>
    </w:p>
    <w:p>
      <w:pPr>
        <w:ind w:firstLine="0" w:left="0"/>
      </w:pPr>
      <w:r>
        <w:rPr>
          <w:rFonts w:ascii="Times New Roman" w:hAnsi="Times New Roman" w:cs="Times New Roman" w:eastAsia="仿宋"/>
          <w:b w:val="0"/>
          <w:sz w:val="28"/>
        </w:rPr>
        <w:t>· 万事达卡获得纽约州BitLicense牌照</w:t>
      </w:r>
    </w:p>
    <w:p>
      <w:pPr>
        <w:ind w:firstLine="0" w:left="0"/>
      </w:pPr>
      <w:r>
        <w:rPr>
          <w:rFonts w:ascii="Times New Roman" w:hAnsi="Times New Roman" w:cs="Times New Roman" w:eastAsia="仿宋"/>
          <w:b w:val="0"/>
          <w:sz w:val="28"/>
        </w:rPr>
        <w:t>· 计划构建受监管的稳定币结算基础设施</w:t>
      </w:r>
    </w:p>
    <w:p>
      <w:pPr>
        <w:pStyle w:val="正文内容"/>
        <w:ind w:firstLine="562"/>
      </w:pPr>
      <w:r>
        <w:rPr>
          <w:rFonts w:ascii="Times New Roman" w:hAnsi="Times New Roman" w:cs="Times New Roman" w:eastAsia="仿宋"/>
          <w:b w:val="0"/>
          <w:sz w:val="28"/>
        </w:rPr>
        <w:t>万事达卡获得纽约州金融服务部颁发的BitLicense，以推进稳定币结算基础设施建设。</w:t>
      </w:r>
    </w:p>
    <w:p>
      <w:pPr>
        <w:pStyle w:val="正文内容"/>
        <w:ind w:firstLine="562"/>
      </w:pPr>
      <w:r>
        <w:rPr>
          <w:rFonts w:ascii="Times New Roman" w:hAnsi="Times New Roman" w:cs="Times New Roman" w:eastAsia="仿宋"/>
          <w:b w:val="0"/>
          <w:sz w:val="28"/>
        </w:rPr>
        <w:t>万事达卡（Mastercard）宣布获得纽约州金融服务部颁发的BitLicense，允许其开展加密资产相关业务。</w:t>
      </w:r>
    </w:p>
    <w:p>
      <w:pPr>
        <w:pStyle w:val="正文内容"/>
        <w:ind w:firstLine="562"/>
      </w:pPr>
      <w:r>
        <w:rPr>
          <w:rFonts w:ascii="Times New Roman" w:hAnsi="Times New Roman" w:cs="Times New Roman" w:eastAsia="仿宋"/>
          <w:b w:val="0"/>
          <w:sz w:val="28"/>
        </w:rPr>
        <w:t>该公司计划利用该牌照构建受监管的稳定币结算基础设施，以支持数字支付和代币化存款。</w:t>
      </w:r>
    </w:p>
    <w:p>
      <w:pPr>
        <w:pStyle w:val="正文内容"/>
        <w:ind w:firstLine="562"/>
      </w:pPr>
      <w:r>
        <w:rPr>
          <w:rFonts w:ascii="Times New Roman" w:hAnsi="Times New Roman" w:cs="Times New Roman" w:eastAsia="仿宋"/>
          <w:b w:val="0"/>
          <w:sz w:val="28"/>
        </w:rPr>
        <w:t>此举标志着传统支付巨头在数字资产领域的进一步布局，有望推动稳定币在主流金融中的应用。</w:t>
      </w:r>
    </w:p>
    <w:p>
      <w:pPr>
        <w:pStyle w:val="信息来源"/>
        <w:spacing w:before="50" w:after="100"/>
        <w:jc w:val="right"/>
      </w:pPr>
      <w:r>
        <w:rPr>
          <w:rFonts w:ascii="Times New Roman" w:hAnsi="Times New Roman" w:cs="Times New Roman" w:eastAsia="仿宋"/>
          <w:b w:val="0"/>
          <w:sz w:val="21"/>
        </w:rPr>
        <w:t>（信息来源：FinanceFeeds）</w:t>
      </w:r>
    </w:p>
    <w:p>
      <w:pPr>
        <w:pStyle w:val="正文内容"/>
        <w:ind w:firstLine="562"/>
      </w:pPr>
      <w:r>
        <w:rPr>
          <w:rFonts w:ascii="Times New Roman" w:hAnsi="Times New Roman" w:cs="Times New Roman" w:eastAsia="仿宋"/>
          <w:b w:val="0"/>
          <w:sz w:val="28"/>
        </w:rPr>
        <w:t>原文标题：Mastercard Secures New York BitLicense to Build Regulated Stablecoin Settlement Infrastructure</w:t>
      </w:r>
    </w:p>
    <w:p>
      <w:pPr>
        <w:pStyle w:val="正文内容"/>
        <w:ind w:firstLine="562"/>
      </w:pPr>
      <w:r>
        <w:rPr>
          <w:rFonts w:ascii="Times New Roman" w:hAnsi="Times New Roman" w:cs="Times New Roman" w:eastAsia="仿宋"/>
          <w:b w:val="0"/>
          <w:sz w:val="28"/>
        </w:rPr>
        <w:t>原文链接：https://news.google.com/rss/articles/CBMivAFBVV95cUxQenZlYWNMUUNjVGEtQ1pEY09QUGlZdHVJYUx4NkMzc09hSWwyYlNQa2xOOU5ucUVDRkk5VTBkbmJPVnJtUGFZRXhzclQ1dUhndkozMVg0bTlMd2pPaFgtUjY4UV8xbkZvTnMzOXlpTVdfTjd2MUJwSnJLckFfcjZReWNneDZwcERYb0gyT1RCQk9FcnhPVHViRkRrcFE0QlItczJvLVZVT3FrZFZ1RlFDV3pMZzJrVFphcTlmUw?oc=5</w:t>
      </w:r>
    </w:p>
    <w:p/>
    <w:p>
      <w:pPr>
        <w:pStyle w:val="文章一级标题"/>
        <w:jc w:val="center"/>
      </w:pPr>
      <w:r>
        <w:rPr>
          <w:rFonts w:ascii="Times New Roman" w:hAnsi="Times New Roman" w:cs="Times New Roman" w:eastAsia="黑体"/>
          <w:b w:val="0"/>
          <w:sz w:val="30"/>
        </w:rPr>
        <w:t>DTCC代币化目标利用Stellar网络推动机构级区块链应用</w:t>
      </w:r>
    </w:p>
    <w:p>
      <w:pPr>
        <w:ind w:firstLine="0" w:left="0"/>
      </w:pPr>
      <w:r>
        <w:rPr>
          <w:rFonts w:ascii="Times New Roman" w:hAnsi="Times New Roman" w:cs="Times New Roman" w:eastAsia="仿宋"/>
          <w:b w:val="0"/>
          <w:sz w:val="28"/>
        </w:rPr>
        <w:t>· DTCC计划将代币化服务接入Stellar公共区块链</w:t>
      </w:r>
    </w:p>
    <w:p>
      <w:pPr>
        <w:ind w:firstLine="0" w:left="0"/>
      </w:pPr>
      <w:r>
        <w:rPr>
          <w:rFonts w:ascii="Times New Roman" w:hAnsi="Times New Roman" w:cs="Times New Roman" w:eastAsia="仿宋"/>
          <w:b w:val="0"/>
          <w:sz w:val="28"/>
        </w:rPr>
        <w:t>· 此举旨在促进机构采用区块链技术进行资产代币化</w:t>
      </w:r>
    </w:p>
    <w:p>
      <w:pPr>
        <w:pStyle w:val="正文内容"/>
        <w:ind w:firstLine="562"/>
      </w:pPr>
      <w:r>
        <w:rPr>
          <w:rFonts w:ascii="Times New Roman" w:hAnsi="Times New Roman" w:cs="Times New Roman" w:eastAsia="仿宋"/>
          <w:b w:val="0"/>
          <w:sz w:val="28"/>
        </w:rPr>
        <w:t>美国存管信托与清算公司（DTCC）宣布与Stellar网络合作，推进机构级代币化。</w:t>
      </w:r>
    </w:p>
    <w:p>
      <w:pPr>
        <w:pStyle w:val="正文内容"/>
        <w:ind w:firstLine="562"/>
      </w:pPr>
      <w:r>
        <w:rPr>
          <w:rFonts w:ascii="Times New Roman" w:hAnsi="Times New Roman" w:cs="Times New Roman" w:eastAsia="仿宋"/>
          <w:b w:val="0"/>
          <w:sz w:val="28"/>
        </w:rPr>
        <w:t>美国存管信托与清算公司（DTCC， Depository Trust &amp; Clearing Corporation）宣布将利用Stellar网络（XLM）提供代币化证券服务。</w:t>
      </w:r>
    </w:p>
    <w:p>
      <w:pPr>
        <w:pStyle w:val="正文内容"/>
        <w:ind w:firstLine="562"/>
      </w:pPr>
      <w:r>
        <w:rPr>
          <w:rFonts w:ascii="Times New Roman" w:hAnsi="Times New Roman" w:cs="Times New Roman" w:eastAsia="仿宋"/>
          <w:b w:val="0"/>
          <w:sz w:val="28"/>
        </w:rPr>
        <w:t>该计划标志着传统金融基础设施向区块链技术的重要迈进，旨在为机构投资者提供更高效的资产代币化解决方案。</w:t>
      </w:r>
    </w:p>
    <w:p>
      <w:pPr>
        <w:pStyle w:val="正文内容"/>
        <w:ind w:firstLine="562"/>
      </w:pPr>
      <w:r>
        <w:rPr>
          <w:rFonts w:ascii="Times New Roman" w:hAnsi="Times New Roman" w:cs="Times New Roman" w:eastAsia="仿宋"/>
          <w:b w:val="0"/>
          <w:sz w:val="28"/>
        </w:rPr>
        <w:t>DTCC预计相关服务将于2027年上线，此举将加速华尔街对数字资产采纳的进程。</w:t>
      </w:r>
    </w:p>
    <w:p>
      <w:pPr>
        <w:pStyle w:val="信息来源"/>
        <w:spacing w:before="50" w:after="100"/>
        <w:jc w:val="right"/>
      </w:pPr>
      <w:r>
        <w:rPr>
          <w:rFonts w:ascii="Times New Roman" w:hAnsi="Times New Roman" w:cs="Times New Roman" w:eastAsia="仿宋"/>
          <w:b w:val="0"/>
          <w:sz w:val="21"/>
        </w:rPr>
        <w:t>（信息来源：TronWeekly）</w:t>
      </w:r>
    </w:p>
    <w:p>
      <w:pPr>
        <w:pStyle w:val="正文内容"/>
        <w:ind w:firstLine="562"/>
      </w:pPr>
      <w:r>
        <w:rPr>
          <w:rFonts w:ascii="Times New Roman" w:hAnsi="Times New Roman" w:cs="Times New Roman" w:eastAsia="仿宋"/>
          <w:b w:val="0"/>
          <w:sz w:val="28"/>
        </w:rPr>
        <w:t>原文标题：DTCC Tokenization Targets Institutional Blockchain Adoption With Stellar Network</w:t>
      </w:r>
    </w:p>
    <w:p>
      <w:pPr>
        <w:pStyle w:val="正文内容"/>
        <w:ind w:firstLine="562"/>
      </w:pPr>
      <w:r>
        <w:rPr>
          <w:rFonts w:ascii="Times New Roman" w:hAnsi="Times New Roman" w:cs="Times New Roman" w:eastAsia="仿宋"/>
          <w:b w:val="0"/>
          <w:sz w:val="28"/>
        </w:rPr>
        <w:t>原文链接：https://news.google.com/rss/articles/CBMidkFVX3lxTFBuSnY5OWtCaHcyTWZES21Pb29LUFJhVGJHek1KZHUwV29rMGhpWWp6RFlxanVLSWZIUVVCSjdRdmYxdmk2ZC1RT1V2Wmk5dlN1bVZSMlo4NmxMV0tLYUVQTng2MDJiS0lqUGFtRExJU1EzWnBoTnc?oc=5</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【市场动态】</w:t>
      </w:r>
    </w:p>
    <w:p>
      <w:pPr>
        <w:pStyle w:val="文章一级标题"/>
        <w:jc w:val="center"/>
      </w:pPr>
      <w:r>
        <w:rPr>
          <w:rFonts w:ascii="Times New Roman" w:hAnsi="Times New Roman" w:cs="Times New Roman" w:eastAsia="黑体"/>
          <w:b w:val="0"/>
          <w:sz w:val="30"/>
        </w:rPr>
        <w:t>美国现货比特币ETF流出天数延续至八日净流出7.33亿美元</w:t>
      </w:r>
    </w:p>
    <w:p>
      <w:pPr>
        <w:ind w:firstLine="0" w:left="0"/>
      </w:pPr>
      <w:r>
        <w:rPr>
          <w:rFonts w:ascii="Times New Roman" w:hAnsi="Times New Roman" w:cs="Times New Roman" w:eastAsia="仿宋"/>
          <w:b w:val="0"/>
          <w:sz w:val="28"/>
        </w:rPr>
        <w:t>· 美国现货比特币ETF连续八日净流出</w:t>
      </w:r>
    </w:p>
    <w:p>
      <w:pPr>
        <w:ind w:firstLine="0" w:left="0"/>
      </w:pPr>
      <w:r>
        <w:rPr>
          <w:rFonts w:ascii="Times New Roman" w:hAnsi="Times New Roman" w:cs="Times New Roman" w:eastAsia="仿宋"/>
          <w:b w:val="0"/>
          <w:sz w:val="28"/>
        </w:rPr>
        <w:t>· 合计流出金额达7.33亿美元</w:t>
      </w:r>
    </w:p>
    <w:p>
      <w:pPr>
        <w:pStyle w:val="正文内容"/>
        <w:ind w:firstLine="562"/>
      </w:pPr>
      <w:r>
        <w:rPr>
          <w:rFonts w:ascii="Times New Roman" w:hAnsi="Times New Roman" w:cs="Times New Roman" w:eastAsia="仿宋"/>
          <w:b w:val="0"/>
          <w:sz w:val="28"/>
        </w:rPr>
        <w:t>美国现货比特币ETF资金流出势头未减，已连续八个交易日净流出，累计达7.33亿美元。</w:t>
      </w:r>
    </w:p>
    <w:p>
      <w:pPr>
        <w:pStyle w:val="正文内容"/>
        <w:ind w:firstLine="562"/>
      </w:pPr>
      <w:r>
        <w:rPr>
          <w:rFonts w:ascii="Times New Roman" w:hAnsi="Times New Roman" w:cs="Times New Roman" w:eastAsia="仿宋"/>
          <w:b w:val="0"/>
          <w:sz w:val="28"/>
        </w:rPr>
        <w:t>据Bitcoin World报道，美国现货比特币ETF（交易所交易基金，Exchange-Traded Fund）已连续八个交易日出现资金净流出。</w:t>
      </w:r>
    </w:p>
    <w:p>
      <w:pPr>
        <w:pStyle w:val="正文内容"/>
        <w:ind w:firstLine="562"/>
      </w:pPr>
      <w:r>
        <w:rPr>
          <w:rFonts w:ascii="Times New Roman" w:hAnsi="Times New Roman" w:cs="Times New Roman" w:eastAsia="仿宋"/>
          <w:b w:val="0"/>
          <w:sz w:val="28"/>
        </w:rPr>
        <w:t>截至2026年5月28日，本轮流出总额已达到7.33亿美元，显示投资者对比特币短期前景持谨慎态度。</w:t>
      </w:r>
    </w:p>
    <w:p>
      <w:pPr>
        <w:pStyle w:val="正文内容"/>
        <w:ind w:firstLine="562"/>
      </w:pPr>
      <w:r>
        <w:rPr>
          <w:rFonts w:ascii="Times New Roman" w:hAnsi="Times New Roman" w:cs="Times New Roman" w:eastAsia="仿宋"/>
          <w:b w:val="0"/>
          <w:sz w:val="28"/>
        </w:rPr>
        <w:t>持续的资金外流与近期地缘政治紧张局势及市场避险情绪升温有关。</w:t>
      </w:r>
    </w:p>
    <w:p>
      <w:pPr>
        <w:pStyle w:val="信息来源"/>
        <w:spacing w:before="50" w:after="100"/>
        <w:jc w:val="right"/>
      </w:pPr>
      <w:r>
        <w:rPr>
          <w:rFonts w:ascii="Times New Roman" w:hAnsi="Times New Roman" w:cs="Times New Roman" w:eastAsia="仿宋"/>
          <w:b w:val="0"/>
          <w:sz w:val="21"/>
        </w:rPr>
        <w:t>（信息来源：Bitcoin World）</w:t>
      </w:r>
    </w:p>
    <w:p>
      <w:pPr>
        <w:pStyle w:val="正文内容"/>
        <w:ind w:firstLine="562"/>
      </w:pPr>
      <w:r>
        <w:rPr>
          <w:rFonts w:ascii="Times New Roman" w:hAnsi="Times New Roman" w:cs="Times New Roman" w:eastAsia="仿宋"/>
          <w:b w:val="0"/>
          <w:sz w:val="28"/>
        </w:rPr>
        <w:t>原文标题：US Spot Bitcoin ETFs Extend Outflow Streak To Eight Days With $733 Million Exodus</w:t>
      </w:r>
    </w:p>
    <w:p>
      <w:pPr>
        <w:pStyle w:val="正文内容"/>
        <w:ind w:firstLine="562"/>
      </w:pPr>
      <w:r>
        <w:rPr>
          <w:rFonts w:ascii="Times New Roman" w:hAnsi="Times New Roman" w:cs="Times New Roman" w:eastAsia="仿宋"/>
          <w:b w:val="0"/>
          <w:sz w:val="28"/>
        </w:rPr>
        <w:t>原文链接：https://news.google.com/rss/articles/CBMickFVX3lxTE5OM0s1MUZNbXJKdEVCN1hSbjNNOEwyUkNYMUZOWW5ha2NLQTZqTF9hWFVNY0tmdjVEd25ycERCU3d4R0hUVzZRUFY3SF8tSm5mYkJqdkVlQ3NVMENWZjBoS1BhQ1NDdVQ1Y3NCQmRvckg2UQ?oc=5</w:t>
      </w:r>
    </w:p>
    <w:p/>
    <w:p>
      <w:pPr>
        <w:pStyle w:val="文章一级标题"/>
        <w:jc w:val="center"/>
      </w:pPr>
      <w:r>
        <w:rPr>
          <w:rFonts w:ascii="Times New Roman" w:hAnsi="Times New Roman" w:cs="Times New Roman" w:eastAsia="黑体"/>
          <w:b w:val="0"/>
          <w:sz w:val="30"/>
        </w:rPr>
        <w:t>比特币跌破7.3万美元美伊紧张局势引发加密市场10亿美元清算</w:t>
      </w:r>
    </w:p>
    <w:p>
      <w:pPr>
        <w:ind w:firstLine="0" w:left="0"/>
      </w:pPr>
      <w:r>
        <w:rPr>
          <w:rFonts w:ascii="Times New Roman" w:hAnsi="Times New Roman" w:cs="Times New Roman" w:eastAsia="仿宋"/>
          <w:b w:val="0"/>
          <w:sz w:val="28"/>
        </w:rPr>
        <w:t>· 比特币价格下跌3.89%至7.3万美元以下</w:t>
      </w:r>
    </w:p>
    <w:p>
      <w:pPr>
        <w:ind w:firstLine="0" w:left="0"/>
      </w:pPr>
      <w:r>
        <w:rPr>
          <w:rFonts w:ascii="Times New Roman" w:hAnsi="Times New Roman" w:cs="Times New Roman" w:eastAsia="仿宋"/>
          <w:b w:val="0"/>
          <w:sz w:val="28"/>
        </w:rPr>
        <w:t>· 美伊冲突导致加密市场出现约10亿美元清算</w:t>
      </w:r>
    </w:p>
    <w:p>
      <w:pPr>
        <w:pStyle w:val="正文内容"/>
        <w:ind w:firstLine="562"/>
      </w:pPr>
      <w:r>
        <w:rPr>
          <w:rFonts w:ascii="Times New Roman" w:hAnsi="Times New Roman" w:cs="Times New Roman" w:eastAsia="仿宋"/>
          <w:b w:val="0"/>
          <w:sz w:val="28"/>
        </w:rPr>
        <w:t>受美国与伊朗紧张局势升级影响，比特币价格跌破7.3万美元，加密市场遭遇约10亿美元清算。</w:t>
      </w:r>
    </w:p>
    <w:p>
      <w:pPr>
        <w:pStyle w:val="正文内容"/>
        <w:ind w:firstLine="562"/>
      </w:pPr>
      <w:r>
        <w:rPr>
          <w:rFonts w:ascii="Times New Roman" w:hAnsi="Times New Roman" w:cs="Times New Roman" w:eastAsia="仿宋"/>
          <w:b w:val="0"/>
          <w:sz w:val="28"/>
        </w:rPr>
        <w:t>Moneycontrol报道称，比特币（BTC， Bitcoin）价格于2026年5月28日下跌3.89%，跌破73，000美元关口。</w:t>
      </w:r>
    </w:p>
    <w:p>
      <w:pPr>
        <w:pStyle w:val="正文内容"/>
        <w:ind w:firstLine="562"/>
      </w:pPr>
      <w:r>
        <w:rPr>
          <w:rFonts w:ascii="Times New Roman" w:hAnsi="Times New Roman" w:cs="Times New Roman" w:eastAsia="仿宋"/>
          <w:b w:val="0"/>
          <w:sz w:val="28"/>
        </w:rPr>
        <w:t>下跌主要源于美国与伊朗之间地缘政治紧张局势加剧，引发避险情绪骤升。</w:t>
      </w:r>
    </w:p>
    <w:p>
      <w:pPr>
        <w:pStyle w:val="正文内容"/>
        <w:ind w:firstLine="562"/>
      </w:pPr>
      <w:r>
        <w:rPr>
          <w:rFonts w:ascii="Times New Roman" w:hAnsi="Times New Roman" w:cs="Times New Roman" w:eastAsia="仿宋"/>
          <w:b w:val="0"/>
          <w:sz w:val="28"/>
        </w:rPr>
        <w:t>整个加密货币市场在短时间内遭到约10亿美元的强制清算，多头仓位受到重创。</w:t>
      </w:r>
    </w:p>
    <w:p>
      <w:pPr>
        <w:pStyle w:val="信息来源"/>
        <w:spacing w:before="50" w:after="100"/>
        <w:jc w:val="right"/>
      </w:pPr>
      <w:r>
        <w:rPr>
          <w:rFonts w:ascii="Times New Roman" w:hAnsi="Times New Roman" w:cs="Times New Roman" w:eastAsia="仿宋"/>
          <w:b w:val="0"/>
          <w:sz w:val="21"/>
        </w:rPr>
        <w:t>（信息来源：Moneycontrol.com）</w:t>
      </w:r>
    </w:p>
    <w:p>
      <w:pPr>
        <w:pStyle w:val="正文内容"/>
        <w:ind w:firstLine="562"/>
      </w:pPr>
      <w:r>
        <w:rPr>
          <w:rFonts w:ascii="Times New Roman" w:hAnsi="Times New Roman" w:cs="Times New Roman" w:eastAsia="仿宋"/>
          <w:b w:val="0"/>
          <w:sz w:val="28"/>
        </w:rPr>
        <w:t>原文标题：Bitcoin drops 3.89% below $73K as US-Iran tensions wipe out $1 billion from the crypto market</w:t>
      </w:r>
    </w:p>
    <w:p>
      <w:pPr>
        <w:pStyle w:val="正文内容"/>
        <w:ind w:firstLine="562"/>
      </w:pPr>
      <w:r>
        <w:rPr>
          <w:rFonts w:ascii="Times New Roman" w:hAnsi="Times New Roman" w:cs="Times New Roman" w:eastAsia="仿宋"/>
          <w:b w:val="0"/>
          <w:sz w:val="28"/>
        </w:rPr>
        <w:t>原文链接：https://news.google.com/rss/articles/CBMi_AFBVV95cUxOd29FeVdjRGtOV0djelZER0tLUnd1eDFFVVE3SklZTVBZN3l2ZVJOY1duUWNiNGhnUmtXczdsWk9iMFNqQVZ6eHE1dzZZbmpLVFdrNVhLeDUzVVZnQ0JBS090NWlLZmFKU2pmLTUwVlRRQUE5Rm5CeFNmQlgyQ1VLcnVleDQ2R2sxMS1aUVhhRGhEZUdOQkdRc0Z3dmlPVHBUVnk1a1pLNlc1bG1ab1dYMXNvWE10bHVKTDVXc1F0YzNKWGxiVzdUc1BPZlBSajlXMW41aFBZQy1JVF83LUtDZ2U4dmlSNkRKaHA0cjhBdG4yMnFxQ194TVY3SErSAfwBQVVfeXFMTndvRXlXY0RrTldHY3pWREdLS1J3dXgxRVVRN0pJWU1QWTd5dmVSTmNXblFjYjRoZ1JrV3M3bFpPYjBTakFWenhxNXc2WW5qS1RXazVYS3g</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【意见领袖】</w:t>
      </w:r>
    </w:p>
    <w:p>
      <w:pPr>
        <w:pStyle w:val="文章一级标题"/>
        <w:jc w:val="center"/>
      </w:pPr>
      <w:r>
        <w:rPr>
          <w:rFonts w:ascii="Times New Roman" w:hAnsi="Times New Roman" w:cs="Times New Roman" w:eastAsia="黑体"/>
          <w:b w:val="0"/>
          <w:sz w:val="30"/>
        </w:rPr>
        <w:t>加密CEO表示比特币四年周期规律仍在发挥作用</w:t>
      </w:r>
    </w:p>
    <w:p>
      <w:pPr>
        <w:ind w:firstLine="0" w:left="0"/>
      </w:pPr>
      <w:r>
        <w:rPr>
          <w:rFonts w:ascii="Times New Roman" w:hAnsi="Times New Roman" w:cs="Times New Roman" w:eastAsia="仿宋"/>
          <w:b w:val="0"/>
          <w:sz w:val="28"/>
        </w:rPr>
        <w:t>· 一位加密CEO认为比特币四年周期规律依然有效</w:t>
      </w:r>
    </w:p>
    <w:p>
      <w:pPr>
        <w:ind w:firstLine="0" w:left="0"/>
      </w:pPr>
      <w:r>
        <w:rPr>
          <w:rFonts w:ascii="Times New Roman" w:hAnsi="Times New Roman" w:cs="Times New Roman" w:eastAsia="仿宋"/>
          <w:b w:val="0"/>
          <w:sz w:val="28"/>
        </w:rPr>
        <w:t>· 该规律暗示比特币价格走势遵循历史模式</w:t>
      </w:r>
    </w:p>
    <w:p>
      <w:pPr>
        <w:pStyle w:val="正文内容"/>
        <w:ind w:firstLine="562"/>
      </w:pPr>
      <w:r>
        <w:rPr>
          <w:rFonts w:ascii="Times New Roman" w:hAnsi="Times New Roman" w:cs="Times New Roman" w:eastAsia="仿宋"/>
          <w:b w:val="0"/>
          <w:sz w:val="28"/>
        </w:rPr>
        <w:t>某加密公司CEO指出，比特币固有的四年周期规律目前仍在正常运行。</w:t>
      </w:r>
    </w:p>
    <w:p>
      <w:pPr>
        <w:pStyle w:val="正文内容"/>
        <w:ind w:firstLine="562"/>
      </w:pPr>
      <w:r>
        <w:rPr>
          <w:rFonts w:ascii="Times New Roman" w:hAnsi="Times New Roman" w:cs="Times New Roman" w:eastAsia="仿宋"/>
          <w:b w:val="0"/>
          <w:sz w:val="28"/>
        </w:rPr>
        <w:t>根据Bitget发布的消息，一位未具名的加密公司CEO在接受采访时表示，比特币（BTC）的四年周期规律依然在市场中发挥作用。</w:t>
      </w:r>
    </w:p>
    <w:p>
      <w:pPr>
        <w:pStyle w:val="正文内容"/>
        <w:ind w:firstLine="562"/>
      </w:pPr>
      <w:r>
        <w:rPr>
          <w:rFonts w:ascii="Times New Roman" w:hAnsi="Times New Roman" w:cs="Times New Roman" w:eastAsia="仿宋"/>
          <w:b w:val="0"/>
          <w:sz w:val="28"/>
        </w:rPr>
        <w:t>该CEO认为，比特币的价格行为继续遵循历史上约每四年出现一次周期性波动的模式。</w:t>
      </w:r>
    </w:p>
    <w:p>
      <w:pPr>
        <w:pStyle w:val="正文内容"/>
        <w:ind w:firstLine="562"/>
      </w:pPr>
      <w:r>
        <w:rPr>
          <w:rFonts w:ascii="Times New Roman" w:hAnsi="Times New Roman" w:cs="Times New Roman" w:eastAsia="仿宋"/>
          <w:b w:val="0"/>
          <w:sz w:val="28"/>
        </w:rPr>
        <w:t>这一观点为投资者提供了参考框架，用以评估当前市场阶段和未来潜在走势。</w:t>
      </w:r>
    </w:p>
    <w:p>
      <w:pPr>
        <w:pStyle w:val="信息来源"/>
        <w:spacing w:before="50" w:after="100"/>
        <w:jc w:val="right"/>
      </w:pPr>
      <w:r>
        <w:rPr>
          <w:rFonts w:ascii="Times New Roman" w:hAnsi="Times New Roman" w:cs="Times New Roman" w:eastAsia="仿宋"/>
          <w:b w:val="0"/>
          <w:sz w:val="21"/>
        </w:rPr>
        <w:t>（信息来源：Bitget）</w:t>
      </w:r>
    </w:p>
    <w:p>
      <w:pPr>
        <w:pStyle w:val="正文内容"/>
        <w:ind w:firstLine="562"/>
      </w:pPr>
      <w:r>
        <w:rPr>
          <w:rFonts w:ascii="Times New Roman" w:hAnsi="Times New Roman" w:cs="Times New Roman" w:eastAsia="仿宋"/>
          <w:b w:val="0"/>
          <w:sz w:val="28"/>
        </w:rPr>
        <w:t>原文标题：Bitcoin's 4-Year Rhythm Is Still Playing Out, Says Crypto CEO</w:t>
      </w:r>
    </w:p>
    <w:p>
      <w:pPr>
        <w:pStyle w:val="正文内容"/>
        <w:ind w:firstLine="562"/>
      </w:pPr>
      <w:r>
        <w:rPr>
          <w:rFonts w:ascii="Times New Roman" w:hAnsi="Times New Roman" w:cs="Times New Roman" w:eastAsia="仿宋"/>
          <w:b w:val="0"/>
          <w:sz w:val="28"/>
        </w:rPr>
        <w:t>原文链接：https://news.google.com/rss/articles/CBMiY0FVX3lxTE5kXzVfLVQyaWhVRVNlM0RtdjZReU9RMFZWYWxxMFQ5VTJ0OEVXaUlxTlVzVFB1ZGp3eEdka1huWEVVNzI2QkN3MU5XRU5lSWEteGppSFpqV1FQU25iaEJINEZna9IBY0FVX3lxTE5kXzVfLVQyaWhVRVNlM0RtdjZReU9RMFZWYWxxMFQ5VTJ0OEVXaUlxTlVzVFB1ZGp3eEdka1huWEVVNzI2QkN3MU5XRU5lSWEteGppSFpqV1FQU25iaEJINEZnaw?oc=5</w:t>
      </w:r>
    </w:p>
    <w:p/>
    <w:p>
      <w:pPr>
        <w:pStyle w:val="文章一级标题"/>
        <w:jc w:val="center"/>
      </w:pPr>
      <w:r>
        <w:rPr>
          <w:rFonts w:ascii="Times New Roman" w:hAnsi="Times New Roman" w:cs="Times New Roman" w:eastAsia="黑体"/>
          <w:b w:val="0"/>
          <w:sz w:val="30"/>
        </w:rPr>
        <w:t>基金经理警告比特币可能进一步下跌因1500亿美元国债操作即将到来</w:t>
      </w:r>
    </w:p>
    <w:p>
      <w:pPr>
        <w:ind w:firstLine="0" w:left="0"/>
      </w:pPr>
      <w:r>
        <w:rPr>
          <w:rFonts w:ascii="Times New Roman" w:hAnsi="Times New Roman" w:cs="Times New Roman" w:eastAsia="仿宋"/>
          <w:b w:val="0"/>
          <w:sz w:val="28"/>
        </w:rPr>
        <w:t>· 基金经理警告比特币跌势可能加深</w:t>
      </w:r>
    </w:p>
    <w:p>
      <w:pPr>
        <w:ind w:firstLine="0" w:left="0"/>
      </w:pPr>
      <w:r>
        <w:rPr>
          <w:rFonts w:ascii="Times New Roman" w:hAnsi="Times New Roman" w:cs="Times New Roman" w:eastAsia="仿宋"/>
          <w:b w:val="0"/>
          <w:sz w:val="28"/>
        </w:rPr>
        <w:t>· 美国国债操作预计将抽走约1500亿美元市场流动性</w:t>
      </w:r>
    </w:p>
    <w:p>
      <w:pPr>
        <w:pStyle w:val="正文内容"/>
        <w:ind w:firstLine="562"/>
      </w:pPr>
      <w:r>
        <w:rPr>
          <w:rFonts w:ascii="Times New Roman" w:hAnsi="Times New Roman" w:cs="Times New Roman" w:eastAsia="仿宋"/>
          <w:b w:val="0"/>
          <w:sz w:val="28"/>
        </w:rPr>
        <w:t>一位基金经理发出警告，认为随着美国国债操作临近，比特币可能面临更大下行压力。</w:t>
      </w:r>
    </w:p>
    <w:p>
      <w:pPr>
        <w:pStyle w:val="正文内容"/>
        <w:ind w:firstLine="562"/>
      </w:pPr>
      <w:r>
        <w:rPr>
          <w:rFonts w:ascii="Times New Roman" w:hAnsi="Times New Roman" w:cs="Times New Roman" w:eastAsia="仿宋"/>
          <w:b w:val="0"/>
          <w:sz w:val="28"/>
        </w:rPr>
        <w:t>CoinDesk报道称，一位基金经理警告比特币（BTC）当前的跌势可能进一步恶化。</w:t>
      </w:r>
    </w:p>
    <w:p>
      <w:pPr>
        <w:pStyle w:val="正文内容"/>
        <w:ind w:firstLine="562"/>
      </w:pPr>
      <w:r>
        <w:rPr>
          <w:rFonts w:ascii="Times New Roman" w:hAnsi="Times New Roman" w:cs="Times New Roman" w:eastAsia="仿宋"/>
          <w:b w:val="0"/>
          <w:sz w:val="28"/>
        </w:rPr>
        <w:t>该经理指出，即将来临的美国国债操作预计将从金融市场抽走约1500亿美元流动性，从而对包括比特币在内的风险资产构成压力。</w:t>
      </w:r>
    </w:p>
    <w:p>
      <w:pPr>
        <w:pStyle w:val="正文内容"/>
        <w:ind w:firstLine="562"/>
      </w:pPr>
      <w:r>
        <w:rPr>
          <w:rFonts w:ascii="Times New Roman" w:hAnsi="Times New Roman" w:cs="Times New Roman" w:eastAsia="仿宋"/>
          <w:b w:val="0"/>
          <w:sz w:val="28"/>
        </w:rPr>
        <w:t>这一观点突显了宏观流动性环境对加密市场的潜在影响。</w:t>
      </w:r>
    </w:p>
    <w:p>
      <w:pPr>
        <w:pStyle w:val="信息来源"/>
        <w:spacing w:before="50" w:after="100"/>
        <w:jc w:val="right"/>
      </w:pPr>
      <w:r>
        <w:rPr>
          <w:rFonts w:ascii="Times New Roman" w:hAnsi="Times New Roman" w:cs="Times New Roman" w:eastAsia="仿宋"/>
          <w:b w:val="0"/>
          <w:sz w:val="21"/>
        </w:rPr>
        <w:t>（信息来源：CoinDesk）</w:t>
      </w:r>
    </w:p>
    <w:p>
      <w:pPr>
        <w:pStyle w:val="正文内容"/>
        <w:ind w:firstLine="562"/>
      </w:pPr>
      <w:r>
        <w:rPr>
          <w:rFonts w:ascii="Times New Roman" w:hAnsi="Times New Roman" w:cs="Times New Roman" w:eastAsia="仿宋"/>
          <w:b w:val="0"/>
          <w:sz w:val="28"/>
        </w:rPr>
        <w:t>原文标题：Bitcoin could be heading much lower, fund manager warns as $150 billion Treasury operation nears</w:t>
      </w:r>
    </w:p>
    <w:p>
      <w:pPr>
        <w:pStyle w:val="正文内容"/>
        <w:ind w:firstLine="562"/>
      </w:pPr>
      <w:r>
        <w:rPr>
          <w:rFonts w:ascii="Times New Roman" w:hAnsi="Times New Roman" w:cs="Times New Roman" w:eastAsia="仿宋"/>
          <w:b w:val="0"/>
          <w:sz w:val="28"/>
        </w:rPr>
        <w:t>原文链接：https://news.google.com/rss/articles/CBMi2AFBVV95cUxPMElzcDFBUUNjQzV4R3dhWjlxMW9QVWt4MjkzOEdPNS1oVFIxUVlxTEsyRkU3cHNubTJKRjB5X3FUX3ZEdkgyLXQ5R0xfX3diY2RESEJEZmhkR1lCMEhyN1VGOVoxaGduT1M2SEFWaldjaHdCT2NxMFd5cnV3bDhoeVd5dWhCd1VZTlVKU3BVNElVWkxoMWZVNXh0UFRDV3pQdFRJMndZQ281OXpodjZ1ZWxiMVZpZUdhdEoxSUFQRFQ2QktXaF80RWFqQ3AtVHdveHQ5Sk92RFY?oc=5</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【专题研究】</w:t>
      </w:r>
    </w:p>
    <w:p>
      <w:pPr>
        <w:pStyle w:val="文章一级标题"/>
        <w:jc w:val="center"/>
      </w:pPr>
      <w:r>
        <w:rPr>
          <w:rFonts w:ascii="Times New Roman" w:hAnsi="Times New Roman" w:cs="Times New Roman" w:eastAsia="黑体"/>
          <w:b w:val="0"/>
          <w:sz w:val="30"/>
        </w:rPr>
        <w:t>加密卡支付月交易额激增230%达78亿美元稳定币采用推动增长</w:t>
      </w:r>
    </w:p>
    <w:p>
      <w:pPr>
        <w:ind w:firstLine="0" w:left="0"/>
      </w:pPr>
      <w:r>
        <w:rPr>
          <w:rFonts w:ascii="Times New Roman" w:hAnsi="Times New Roman" w:cs="Times New Roman" w:eastAsia="仿宋"/>
          <w:b w:val="0"/>
          <w:sz w:val="28"/>
        </w:rPr>
        <w:t>· 加密卡支付月交易额同比增长230%至78亿美元</w:t>
      </w:r>
    </w:p>
    <w:p>
      <w:pPr>
        <w:ind w:firstLine="0" w:left="0"/>
      </w:pPr>
      <w:r>
        <w:rPr>
          <w:rFonts w:ascii="Times New Roman" w:hAnsi="Times New Roman" w:cs="Times New Roman" w:eastAsia="仿宋"/>
          <w:b w:val="0"/>
          <w:sz w:val="28"/>
        </w:rPr>
        <w:t>· 稳定币的广泛采用是主要驱动力</w:t>
      </w:r>
    </w:p>
    <w:p>
      <w:pPr>
        <w:pStyle w:val="正文内容"/>
        <w:ind w:firstLine="562"/>
      </w:pPr>
      <w:r>
        <w:rPr>
          <w:rFonts w:ascii="Times New Roman" w:hAnsi="Times New Roman" w:cs="Times New Roman" w:eastAsia="仿宋"/>
          <w:b w:val="0"/>
          <w:sz w:val="28"/>
        </w:rPr>
        <w:t>CryptoRank报告显示，加密卡支付月交易额飙升至78亿美元，同比增长230%，稳定币使用增加是核心原因。</w:t>
      </w:r>
    </w:p>
    <w:p>
      <w:pPr>
        <w:pStyle w:val="正文内容"/>
        <w:ind w:firstLine="562"/>
      </w:pPr>
      <w:r>
        <w:rPr>
          <w:rFonts w:ascii="Times New Roman" w:hAnsi="Times New Roman" w:cs="Times New Roman" w:eastAsia="仿宋"/>
          <w:b w:val="0"/>
          <w:sz w:val="28"/>
        </w:rPr>
        <w:t>据CryptoRank统计，加密货币卡支付月交易额已增长至78亿美元，较去年同期大幅攀升230%。</w:t>
      </w:r>
    </w:p>
    <w:p>
      <w:pPr>
        <w:pStyle w:val="正文内容"/>
        <w:ind w:firstLine="562"/>
      </w:pPr>
      <w:r>
        <w:rPr>
          <w:rFonts w:ascii="Times New Roman" w:hAnsi="Times New Roman" w:cs="Times New Roman" w:eastAsia="仿宋"/>
          <w:b w:val="0"/>
          <w:sz w:val="28"/>
        </w:rPr>
        <w:t>报告指出，稳定币（stablecoin）在支付领域的采用不断增长是推动这一激增的主要因素。</w:t>
      </w:r>
    </w:p>
    <w:p>
      <w:pPr>
        <w:pStyle w:val="正文内容"/>
        <w:ind w:firstLine="562"/>
      </w:pPr>
      <w:r>
        <w:rPr>
          <w:rFonts w:ascii="Times New Roman" w:hAnsi="Times New Roman" w:cs="Times New Roman" w:eastAsia="仿宋"/>
          <w:b w:val="0"/>
          <w:sz w:val="28"/>
        </w:rPr>
        <w:t>稳定币凭借其价格锚定特性，成为加密卡支付中的主要媒介，降低了波动性风险。</w:t>
      </w:r>
    </w:p>
    <w:p>
      <w:pPr>
        <w:pStyle w:val="正文内容"/>
        <w:ind w:firstLine="562"/>
      </w:pPr>
      <w:r>
        <w:rPr>
          <w:rFonts w:ascii="Times New Roman" w:hAnsi="Times New Roman" w:cs="Times New Roman" w:eastAsia="仿宋"/>
          <w:b w:val="0"/>
          <w:sz w:val="28"/>
        </w:rPr>
        <w:t>此外，更多商户和支付服务商开始接受加密卡，也促进了交易量的上升。</w:t>
      </w:r>
    </w:p>
    <w:p>
      <w:pPr>
        <w:pStyle w:val="正文内容"/>
        <w:ind w:firstLine="562"/>
      </w:pPr>
      <w:r>
        <w:rPr>
          <w:rFonts w:ascii="Times New Roman" w:hAnsi="Times New Roman" w:cs="Times New Roman" w:eastAsia="仿宋"/>
          <w:b w:val="0"/>
          <w:sz w:val="28"/>
        </w:rPr>
        <w:t>随着监管框架逐步明确，稳定币在支付基础设施中的作用预计将进一步增强。</w:t>
      </w:r>
    </w:p>
    <w:p>
      <w:pPr>
        <w:pStyle w:val="信息来源"/>
        <w:spacing w:before="50" w:after="100"/>
        <w:jc w:val="right"/>
      </w:pPr>
      <w:r>
        <w:rPr>
          <w:rFonts w:ascii="Times New Roman" w:hAnsi="Times New Roman" w:cs="Times New Roman" w:eastAsia="仿宋"/>
          <w:b w:val="0"/>
          <w:sz w:val="21"/>
        </w:rPr>
        <w:t>（信息来源：CryptoRank）</w:t>
      </w:r>
    </w:p>
    <w:p>
      <w:pPr>
        <w:pStyle w:val="正文内容"/>
        <w:ind w:firstLine="562"/>
      </w:pPr>
      <w:r>
        <w:rPr>
          <w:rFonts w:ascii="Times New Roman" w:hAnsi="Times New Roman" w:cs="Times New Roman" w:eastAsia="仿宋"/>
          <w:b w:val="0"/>
          <w:sz w:val="28"/>
        </w:rPr>
        <w:t>原文标题：Crypto Card Payments Surge 230% to $7.8 Billion Monthly as Stablecoins Gain Traction</w:t>
      </w:r>
    </w:p>
    <w:p>
      <w:pPr>
        <w:pStyle w:val="正文内容"/>
        <w:ind w:firstLine="562"/>
      </w:pPr>
      <w:r>
        <w:rPr>
          <w:rFonts w:ascii="Times New Roman" w:hAnsi="Times New Roman" w:cs="Times New Roman" w:eastAsia="仿宋"/>
          <w:b w:val="0"/>
          <w:sz w:val="28"/>
        </w:rPr>
        <w:t>原文链接：https://news.google.com/rss/articles/CBMiggFBVV95cUxNSDJUYmFreHYyZ2xqZnJMdTUyU3ktcWZfd1N6cTZ6dS1SQTdpSEFRcG9uM0ViQXA0eDFZOXQtWk81Mk13QXlRa3ZDSVFzSndwM25SZ01BVmNnWXVvLUtLb2dlTmIwbmdtbnd3WXRpU29CeE1pZ195U0t1T3NwZGt1RlpR?oc=5</w:t>
      </w:r>
    </w:p>
    <w:sectPr w:rsidR="00FC693F" w:rsidRPr="0006063C" w:rsidSect="00034616">
      <w:pgSz w:w="12240" w:h="15840"/>
      <w:pgMar w:top="1440" w:right="1803" w:bottom="1440" w:left="1803" w:header="850" w:footer="992" w:gutter="0"/>
      <w:cols w:space="720"/>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ind w:firstLine="200"/>
    </w:pPr>
    <w:rPr>
      <w:rFonts w:ascii="Times New Roman" w:hAnsi="Times New Roman" w:cs="Times New Roman" w:eastAsia="仿宋"/>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60" w:after="240"/>
      <w:ind w:firstLine="0"/>
      <w:outlineLvl w:val="0"/>
    </w:pPr>
    <w:rPr>
      <w:rFonts w:asciiTheme="majorHAnsi" w:eastAsiaTheme="majorEastAsia" w:hAnsiTheme="majorHAnsi" w:cstheme="majorBidi" w:ascii="Times New Roman" w:hAnsi="Times New Roman" w:cs="Times New Roman" w:eastAsia="黑体"/>
      <w:b/>
      <w:bCs/>
      <w:color w:val="2F5496"/>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文章一级标题">
    <w:name w:val="文章一级标题"/>
    <w:pPr>
      <w:jc w:val="center"/>
    </w:pPr>
    <w:rPr>
      <w:rFonts w:ascii="Times New Roman" w:hAnsi="Times New Roman" w:cs="Times New Roman" w:eastAsia="黑体"/>
      <w:sz w:val="30"/>
    </w:rPr>
  </w:style>
  <w:style w:type="paragraph" w:customStyle="1" w:styleId="正文内容">
    <w:name w:val="正文内容"/>
    <w:basedOn w:val="Normal"/>
    <w:pPr>
      <w:ind w:firstLine="562"/>
    </w:pPr>
    <w:rPr>
      <w:rFonts w:ascii="Times New Roman" w:hAnsi="Times New Roman" w:cs="Times New Roman" w:eastAsia="仿宋"/>
      <w:sz w:val="28"/>
    </w:rPr>
  </w:style>
  <w:style w:type="paragraph" w:customStyle="1" w:styleId="信息来源">
    <w:name w:val="信息来源"/>
    <w:basedOn w:val="Normal"/>
    <w:pPr>
      <w:spacing w:before="50" w:after="100"/>
      <w:jc w:val="right"/>
    </w:pPr>
    <w:rPr>
      <w:rFonts w:ascii="Times New Roman" w:hAnsi="Times New Roman" w:cs="Times New Roman" w:eastAsia="仿宋"/>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加密货币观察周刊</dc:title>
  <dc:subject>2026-05-25 15:56 至 2026-05-28 15:56（北京时间，最近3天）</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