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Times New Roman" w:hAnsi="Times New Roman" w:cs="Times New Roman" w:eastAsia="黑体"/>
          <w:b w:val="0"/>
          <w:sz w:val="32"/>
        </w:rPr>
        <w:t>目  录</w:t>
      </w:r>
    </w:p>
    <w:p>
      <w:pPr>
        <w:spacing w:before="0" w:after="0"/>
        <w:ind w:firstLine="0"/>
      </w:pPr>
      <w:r>
        <w:rPr>
          <w:rFonts w:ascii="Times New Roman" w:hAnsi="Times New Roman" w:cs="Times New Roman" w:eastAsia="黑体"/>
          <w:b w:val="0"/>
          <w:color w:val="2F5496"/>
          <w:sz w:val="32"/>
        </w:rPr>
        <w:t>【政策风向】</w:t>
      </w:r>
    </w:p>
    <w:p>
      <w:pPr>
        <w:pStyle w:val="ListParagraph"/>
        <w:spacing w:before="0" w:after="0" w:line="360" w:lineRule="auto"/>
        <w:ind w:left="0" w:firstLine="0"/>
      </w:pPr>
      <w:r>
        <w:rPr>
          <w:rFonts w:ascii="Times New Roman" w:hAnsi="Times New Roman" w:cs="Times New Roman" w:eastAsia="楷体"/>
          <w:b w:val="0"/>
          <w:sz w:val="28"/>
        </w:rPr>
        <w:t>· 特拉华州与新泽西州推进禁止加密货币ATM法案</w:t>
      </w:r>
    </w:p>
    <w:p>
      <w:pPr>
        <w:pStyle w:val="ListParagraph"/>
        <w:spacing w:before="0" w:after="0" w:line="360" w:lineRule="auto"/>
        <w:ind w:left="0" w:firstLine="0"/>
      </w:pPr>
      <w:r>
        <w:rPr>
          <w:rFonts w:ascii="Times New Roman" w:hAnsi="Times New Roman" w:cs="Times New Roman" w:eastAsia="楷体"/>
          <w:b w:val="0"/>
          <w:sz w:val="28"/>
        </w:rPr>
        <w:t>· CFTC提案倾向体育赛事合约明确选举合约不属于赌博</w:t>
      </w:r>
    </w:p>
    <w:p>
      <w:pPr>
        <w:pStyle w:val="ListParagraph"/>
        <w:spacing w:before="0" w:after="0" w:line="360" w:lineRule="auto"/>
        <w:ind w:left="0" w:firstLine="0"/>
      </w:pPr>
      <w:r>
        <w:rPr>
          <w:rFonts w:ascii="Times New Roman" w:hAnsi="Times New Roman" w:cs="Times New Roman" w:eastAsia="楷体"/>
          <w:b w:val="0"/>
          <w:sz w:val="28"/>
        </w:rPr>
        <w:t>· 欧盟提议禁止11家加密平台交易以强化对俄制裁</w:t>
      </w:r>
    </w:p>
    <w:p>
      <w:pPr>
        <w:spacing w:before="0" w:after="0"/>
        <w:ind w:firstLine="0"/>
      </w:pPr>
      <w:r>
        <w:rPr>
          <w:rFonts w:ascii="Times New Roman" w:hAnsi="Times New Roman" w:cs="Times New Roman" w:eastAsia="黑体"/>
          <w:b w:val="0"/>
          <w:color w:val="2F5496"/>
          <w:sz w:val="32"/>
        </w:rPr>
        <w:t>【行业前沿】</w:t>
      </w:r>
    </w:p>
    <w:p>
      <w:pPr>
        <w:pStyle w:val="ListParagraph"/>
        <w:spacing w:before="0" w:after="0" w:line="360" w:lineRule="auto"/>
        <w:ind w:left="0" w:firstLine="0"/>
      </w:pPr>
      <w:r>
        <w:rPr>
          <w:rFonts w:ascii="Times New Roman" w:hAnsi="Times New Roman" w:cs="Times New Roman" w:eastAsia="楷体"/>
          <w:b w:val="0"/>
          <w:sz w:val="28"/>
        </w:rPr>
        <w:t>· Solana去中心化交易所Raydium遭134万美元攻击DeFi攻击事件增多</w:t>
      </w:r>
    </w:p>
    <w:p>
      <w:pPr>
        <w:pStyle w:val="ListParagraph"/>
        <w:spacing w:before="0" w:after="0" w:line="360" w:lineRule="auto"/>
        <w:ind w:left="0" w:firstLine="0"/>
      </w:pPr>
      <w:r>
        <w:rPr>
          <w:rFonts w:ascii="Times New Roman" w:hAnsi="Times New Roman" w:cs="Times New Roman" w:eastAsia="楷体"/>
          <w:b w:val="0"/>
          <w:sz w:val="28"/>
        </w:rPr>
        <w:t>· Mastercard推出AI代理支付平台支持卡、银行账户和稳定币</w:t>
      </w:r>
    </w:p>
    <w:p>
      <w:pPr>
        <w:spacing w:before="0" w:after="0"/>
        <w:ind w:firstLine="0"/>
      </w:pPr>
      <w:r>
        <w:rPr>
          <w:rFonts w:ascii="Times New Roman" w:hAnsi="Times New Roman" w:cs="Times New Roman" w:eastAsia="黑体"/>
          <w:b w:val="0"/>
          <w:color w:val="2F5496"/>
          <w:sz w:val="32"/>
        </w:rPr>
        <w:t>【市场动态】</w:t>
      </w:r>
    </w:p>
    <w:p>
      <w:pPr>
        <w:pStyle w:val="ListParagraph"/>
        <w:spacing w:before="0" w:after="0" w:line="360" w:lineRule="auto"/>
        <w:ind w:left="0" w:firstLine="0"/>
      </w:pPr>
      <w:r>
        <w:rPr>
          <w:rFonts w:ascii="Times New Roman" w:hAnsi="Times New Roman" w:cs="Times New Roman" w:eastAsia="楷体"/>
          <w:b w:val="0"/>
          <w:sz w:val="28"/>
        </w:rPr>
        <w:t>· Fold出售4500万美元比特币以清偿抵押债务</w:t>
      </w:r>
    </w:p>
    <w:p>
      <w:pPr>
        <w:pStyle w:val="ListParagraph"/>
        <w:spacing w:before="0" w:after="0" w:line="360" w:lineRule="auto"/>
        <w:ind w:left="0" w:firstLine="0"/>
      </w:pPr>
      <w:r>
        <w:rPr>
          <w:rFonts w:ascii="Times New Roman" w:hAnsi="Times New Roman" w:cs="Times New Roman" w:eastAsia="楷体"/>
          <w:b w:val="0"/>
          <w:sz w:val="28"/>
        </w:rPr>
        <w:t>· CME集团推出纳斯达克CME加密指数期货覆盖BTC、ETH及SOL</w:t>
      </w:r>
    </w:p>
    <w:p>
      <w:pPr>
        <w:spacing w:before="0" w:after="0"/>
        <w:ind w:firstLine="0"/>
      </w:pPr>
      <w:r>
        <w:rPr>
          <w:rFonts w:ascii="Times New Roman" w:hAnsi="Times New Roman" w:cs="Times New Roman" w:eastAsia="黑体"/>
          <w:b w:val="0"/>
          <w:color w:val="2F5496"/>
          <w:sz w:val="32"/>
        </w:rPr>
        <w:t>【意见领袖】</w:t>
      </w:r>
    </w:p>
    <w:p>
      <w:pPr>
        <w:pStyle w:val="ListParagraph"/>
        <w:spacing w:before="0" w:after="0" w:line="360" w:lineRule="auto"/>
        <w:ind w:left="0" w:firstLine="0"/>
      </w:pPr>
      <w:r>
        <w:rPr>
          <w:rFonts w:ascii="Times New Roman" w:hAnsi="Times New Roman" w:cs="Times New Roman" w:eastAsia="楷体"/>
          <w:b w:val="0"/>
          <w:sz w:val="28"/>
        </w:rPr>
        <w:t>· NetomiCEO称5万亿美元AI客户体验市场将推动稳定币需求</w:t>
      </w:r>
    </w:p>
    <w:p>
      <w:pPr>
        <w:pStyle w:val="ListParagraph"/>
        <w:spacing w:before="0" w:after="0" w:line="360" w:lineRule="auto"/>
        <w:ind w:left="0" w:firstLine="0"/>
      </w:pPr>
      <w:r>
        <w:rPr>
          <w:rFonts w:ascii="Times New Roman" w:hAnsi="Times New Roman" w:cs="Times New Roman" w:eastAsia="楷体"/>
          <w:b w:val="0"/>
          <w:sz w:val="28"/>
        </w:rPr>
        <w:t>· CoinShares研究主管称加密资金外流是情绪冲击而非结构性危机</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【政策风向】</w:t>
      </w:r>
    </w:p>
    <w:p>
      <w:pPr>
        <w:pStyle w:val="文章一级标题"/>
        <w:spacing w:before="0" w:after="0" w:line="240" w:lineRule="auto"/>
        <w:ind w:left="0" w:right="0" w:firstLine="0"/>
        <w:jc w:val="center"/>
      </w:pPr>
      <w:r>
        <w:rPr>
          <w:rFonts w:ascii="Times New Roman" w:hAnsi="Times New Roman" w:cs="Times New Roman" w:eastAsia="黑体"/>
          <w:b w:val="0"/>
          <w:sz w:val="30"/>
        </w:rPr>
        <w:t>特拉华州与新泽西州推进禁止加密货币ATM法案</w:t>
      </w:r>
    </w:p>
    <w:p>
      <w:pPr>
        <w:spacing w:before="0" w:after="0" w:line="240" w:lineRule="auto"/>
        <w:ind w:left="0" w:right="0" w:firstLine="0"/>
        <w:jc w:val="both"/>
      </w:pPr>
      <w:r>
        <w:rPr>
          <w:rFonts w:ascii="Times New Roman" w:hAnsi="Times New Roman" w:cs="Times New Roman" w:eastAsia="仿宋"/>
          <w:b w:val="0"/>
          <w:sz w:val="28"/>
        </w:rPr>
        <w:t>· 特拉华州与新泽西州均推进了禁止加密货币自动柜员机（ATM）的州级法案，理由是其被大量用于诈骗。</w:t>
      </w:r>
    </w:p>
    <w:p>
      <w:pPr>
        <w:spacing w:before="0" w:after="0" w:line="240" w:lineRule="auto"/>
        <w:ind w:left="0" w:right="0" w:firstLine="0"/>
        <w:jc w:val="both"/>
      </w:pPr>
      <w:r>
        <w:rPr>
          <w:rFonts w:ascii="Times New Roman" w:hAnsi="Times New Roman" w:cs="Times New Roman" w:eastAsia="仿宋"/>
          <w:b w:val="0"/>
          <w:sz w:val="28"/>
        </w:rPr>
        <w:t>· 美国联邦调查局（FBI）称2025年收到近13，500起涉及加密货币ATM的投诉，损失超3.88亿美元，较2024年投诉量增23%、损失增58%。</w:t>
      </w:r>
    </w:p>
    <w:p>
      <w:pPr>
        <w:spacing w:before="0" w:after="0" w:line="240" w:lineRule="auto"/>
        <w:ind w:left="0" w:right="0" w:firstLine="0"/>
        <w:jc w:val="both"/>
      </w:pPr>
      <w:r>
        <w:rPr>
          <w:rFonts w:ascii="Times New Roman" w:hAnsi="Times New Roman" w:cs="Times New Roman" w:eastAsia="仿宋"/>
          <w:b w:val="0"/>
          <w:sz w:val="28"/>
        </w:rPr>
        <w:t>· 比特币ATM运营商主张自身不应为第三方诈骗负责，并已在机器上设置诈骗警告和交易限额。</w:t>
      </w:r>
    </w:p>
    <w:p>
      <w:pPr>
        <w:pStyle w:val="正文内容"/>
        <w:spacing w:before="0" w:after="0" w:line="240" w:lineRule="auto"/>
        <w:ind w:left="0" w:right="0" w:firstLine="560"/>
        <w:jc w:val="both"/>
      </w:pPr>
      <w:r>
        <w:rPr>
          <w:rFonts w:ascii="Times New Roman" w:hAnsi="Times New Roman" w:cs="Times New Roman" w:eastAsia="仿宋"/>
          <w:b w:val="0"/>
          <w:sz w:val="28"/>
        </w:rPr>
        <w:t>特拉华州与新泽西州的立法者均已推进全面禁止加密货币自动柜员机（ATM）的法案，这成为美国各州日益流行的趋势，立法者担忧这些信息亭被大量用于诈骗。特拉华州众议院经济委员会周二通过了第441号众议院法案，将提交全院审议。该法案将禁止拥有、安装或运营加密货币信息亭。此前，新泽西州参议院商业委员会于周一一致投票，将其禁止加密货币ATM的法案提交全院审议。</w:t>
      </w:r>
    </w:p>
    <w:p>
      <w:pPr>
        <w:pStyle w:val="正文内容"/>
        <w:spacing w:before="0" w:after="0" w:line="240" w:lineRule="auto"/>
        <w:ind w:left="0" w:right="0" w:firstLine="560"/>
        <w:jc w:val="both"/>
      </w:pPr>
      <w:r>
        <w:rPr>
          <w:rFonts w:ascii="Times New Roman" w:hAnsi="Times New Roman" w:cs="Times New Roman" w:eastAsia="仿宋"/>
          <w:b w:val="0"/>
          <w:sz w:val="28"/>
        </w:rPr>
        <w:t>美国已有至少三个州——印第安纳州、田纳西州和明尼苏达州——针对加密货币ATM被用于诈骗的情况通过了全面禁令。联邦调查局（FBI）在5月表示，2025年共收到近13，500起涉及加密货币ATM的投诉，涉及损失超过3.88亿美元，较2024年投诉量增加23%，损失金额增加58%。其中超过一半的投诉涉及50岁以上人群，损失金额超过3.02亿美元。</w:t>
      </w:r>
    </w:p>
    <w:p>
      <w:pPr>
        <w:pStyle w:val="正文内容"/>
        <w:spacing w:before="0" w:after="0" w:line="240" w:lineRule="auto"/>
        <w:ind w:left="0" w:right="0" w:firstLine="560"/>
        <w:jc w:val="both"/>
      </w:pPr>
      <w:r>
        <w:rPr>
          <w:rFonts w:ascii="Times New Roman" w:hAnsi="Times New Roman" w:cs="Times New Roman" w:eastAsia="仿宋"/>
          <w:b w:val="0"/>
          <w:sz w:val="28"/>
        </w:rPr>
        <w:t>特拉华州法案发起人、众议员辛迪·罗默（Cyndie Romer）表示，加密货币ATM“将数字货币降级为掠夺性的现金攫取工具”。她补充道：“常规加密货币交易者通常不使用加密货币ATM，因为其费用要高得多，可达交易价值的20%以上，而在线交易所的费用仅为0.4%至1%。没有理由支持一个使诈骗者能够从我们最易受伤害的人群中勒索钱财的商业结构。”</w:t>
      </w:r>
    </w:p>
    <w:p>
      <w:pPr>
        <w:pStyle w:val="正文内容"/>
        <w:spacing w:before="0" w:after="0" w:line="240" w:lineRule="auto"/>
        <w:ind w:left="0" w:right="0" w:firstLine="560"/>
        <w:jc w:val="both"/>
      </w:pPr>
      <w:r>
        <w:rPr>
          <w:rFonts w:ascii="Times New Roman" w:hAnsi="Times New Roman" w:cs="Times New Roman" w:eastAsia="仿宋"/>
          <w:b w:val="0"/>
          <w:sz w:val="28"/>
        </w:rPr>
        <w:t>特拉华州的法案还禁止“复制或替代”加密货币ATM的法币-加密货币销售行为，例如通过销售点系统或收银台进行。法案还规定，在该法案签署成为法律后的90天内，必须移除所有加密货币ATM。法案列出的违规罚款最高可达10，000美元，如果发现信息亭在运营，必须向所有用户退还手续费，或者若无法找到用户，则将费用支付至消费者保护基金。</w:t>
      </w:r>
    </w:p>
    <w:p>
      <w:pPr>
        <w:pStyle w:val="正文内容"/>
        <w:spacing w:before="0" w:after="0" w:line="240" w:lineRule="auto"/>
        <w:ind w:left="0" w:right="0" w:firstLine="560"/>
        <w:jc w:val="both"/>
      </w:pPr>
      <w:r>
        <w:rPr>
          <w:rFonts w:ascii="Times New Roman" w:hAnsi="Times New Roman" w:cs="Times New Roman" w:eastAsia="仿宋"/>
          <w:b w:val="0"/>
          <w:sz w:val="28"/>
        </w:rPr>
        <w:t>新泽西州的法案同样禁止拥有、控制、安装、管理、销售或要约销售加密货币ATM，原因是“与其使用相关的诈骗显著增加”。法案规定首次违规罚款最高10，000美元，后续违规罚款翻倍至20，000美元。</w:t>
      </w:r>
    </w:p>
    <w:p>
      <w:pPr>
        <w:pStyle w:val="正文内容"/>
        <w:spacing w:before="0" w:after="0" w:line="240" w:lineRule="auto"/>
        <w:ind w:left="0" w:right="0" w:firstLine="560"/>
        <w:jc w:val="both"/>
      </w:pPr>
      <w:r>
        <w:rPr>
          <w:rFonts w:ascii="Times New Roman" w:hAnsi="Times New Roman" w:cs="Times New Roman" w:eastAsia="仿宋"/>
          <w:b w:val="0"/>
          <w:sz w:val="28"/>
        </w:rPr>
        <w:t>印第安纳州于3月签署法律，成为美国首个禁止加密货币ATM的州。田纳西州于4月跟进禁令，明尼苏达州于5月通过禁令。部分美国城市也已通过或正在审议禁止加密货币ATM的条例，而包括亚利桑那州和加利福尼亚州在内的部分州则对加密货币ATM允许的交易金额设定了上限。此外，加拿大也提出了因诈骗和洗钱问题禁止加密货币ATM的提案。</w:t>
      </w:r>
    </w:p>
    <w:p>
      <w:pPr>
        <w:pStyle w:val="正文内容"/>
        <w:spacing w:before="0" w:after="0" w:line="240" w:lineRule="auto"/>
        <w:ind w:left="0" w:right="0" w:firstLine="560"/>
        <w:jc w:val="both"/>
      </w:pPr>
      <w:r>
        <w:rPr>
          <w:rFonts w:ascii="Times New Roman" w:hAnsi="Times New Roman" w:cs="Times New Roman" w:eastAsia="仿宋"/>
          <w:b w:val="0"/>
          <w:sz w:val="28"/>
        </w:rPr>
        <w:t>全球最大的加密货币ATM运营商比特币存管（Bitcoin Depot）曾拥有超过9，000台信息亭，上月以监管压力为主要原因申请破产。然而，加密货币ATM运营商长期以来一直声称，他们不应对通过其机器进行的诈骗负责，许多运营商已在屏幕上设置诈骗警告或自行设定交易限额以遏制非法交易。比特币存管在去年12月向国际调查记者联盟（ICIJ）关于加密货币诈骗的调查表示，其“不能为第三方诈骗者的犯罪行为承担责任”，并称其机器和交易过程中有“强有力的警告和安全措施”。</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原文标题：Delaware， New Jersey advance bills banning crypto ATMs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原文链接：https://cointelegraph.com/news/delaware-new-jersey-advance-bills-banning-crypto-atms</w:t>
      </w:r>
    </w:p>
    <w:p/>
    <w:p>
      <w:pPr>
        <w:pStyle w:val="文章一级标题"/>
        <w:spacing w:before="0" w:after="0" w:line="240" w:lineRule="auto"/>
        <w:ind w:left="0" w:right="0" w:firstLine="0"/>
        <w:jc w:val="center"/>
      </w:pPr>
      <w:r>
        <w:rPr>
          <w:rFonts w:ascii="Times New Roman" w:hAnsi="Times New Roman" w:cs="Times New Roman" w:eastAsia="黑体"/>
          <w:b w:val="0"/>
          <w:sz w:val="30"/>
        </w:rPr>
        <w:t>CFTC提案倾向体育赛事合约明确选举合约不属于赌博</w:t>
      </w:r>
    </w:p>
    <w:p>
      <w:pPr>
        <w:spacing w:before="0" w:after="0" w:line="240" w:lineRule="auto"/>
        <w:ind w:left="0" w:right="0" w:firstLine="0"/>
        <w:jc w:val="both"/>
      </w:pPr>
      <w:r>
        <w:rPr>
          <w:rFonts w:ascii="Times New Roman" w:hAnsi="Times New Roman" w:cs="Times New Roman" w:eastAsia="仿宋"/>
          <w:b w:val="0"/>
          <w:sz w:val="28"/>
        </w:rPr>
        <w:t>· CFTC提案允许大多数体育预测市场合约，并明确选举合约不属于赌博。</w:t>
      </w:r>
    </w:p>
    <w:p>
      <w:pPr>
        <w:spacing w:before="0" w:after="0" w:line="240" w:lineRule="auto"/>
        <w:ind w:left="0" w:right="0" w:firstLine="0"/>
        <w:jc w:val="both"/>
      </w:pPr>
      <w:r>
        <w:rPr>
          <w:rFonts w:ascii="Times New Roman" w:hAnsi="Times New Roman" w:cs="Times New Roman" w:eastAsia="仿宋"/>
          <w:b w:val="0"/>
          <w:sz w:val="28"/>
        </w:rPr>
        <w:t>· 提案区分体育赛事合约与纯机会游戏，认为基于总得分、胜负记录等可促进价格发现。</w:t>
      </w:r>
    </w:p>
    <w:p>
      <w:pPr>
        <w:spacing w:before="0" w:after="0" w:line="240" w:lineRule="auto"/>
        <w:ind w:left="0" w:right="0" w:firstLine="0"/>
        <w:jc w:val="both"/>
      </w:pPr>
      <w:r>
        <w:rPr>
          <w:rFonts w:ascii="Times New Roman" w:hAnsi="Times New Roman" w:cs="Times New Roman" w:eastAsia="仿宋"/>
          <w:b w:val="0"/>
          <w:sz w:val="28"/>
        </w:rPr>
        <w:t>· 草案公开征求意见45天，可能为美国预测市场监管框架定下基调。</w:t>
      </w:r>
    </w:p>
    <w:p>
      <w:pPr>
        <w:pStyle w:val="正文内容"/>
        <w:spacing w:before="0" w:after="0" w:line="240" w:lineRule="auto"/>
        <w:ind w:left="0" w:right="0" w:firstLine="560"/>
        <w:jc w:val="both"/>
      </w:pPr>
      <w:r>
        <w:rPr>
          <w:rFonts w:ascii="Times New Roman" w:hAnsi="Times New Roman" w:cs="Times New Roman" w:eastAsia="仿宋"/>
          <w:b w:val="0"/>
          <w:sz w:val="28"/>
        </w:rPr>
        <w:t>美国商品期货交易委员会（CFTC）已提出预测市场新规，信号显示体育赛事合约通常不违背公共利益，尽管联邦法律将其归类为“赌博”。该提案于周三发布。</w:t>
      </w:r>
    </w:p>
    <w:p>
      <w:pPr>
        <w:pStyle w:val="正文内容"/>
        <w:spacing w:before="0" w:after="0" w:line="240" w:lineRule="auto"/>
        <w:ind w:left="0" w:right="0" w:firstLine="560"/>
        <w:jc w:val="both"/>
      </w:pPr>
      <w:r>
        <w:rPr>
          <w:rFonts w:ascii="Times New Roman" w:hAnsi="Times New Roman" w:cs="Times New Roman" w:eastAsia="仿宋"/>
          <w:b w:val="0"/>
          <w:sz w:val="28"/>
        </w:rPr>
        <w:t>提案将体育赛事合约与纯机会游戏区别对待，称基于最终得分和胜负记录的市场有助于价格发现。但涉及球员伤病、裁判判罚或其他可能鼓励操纵结果的合约，则不太可能通过公共利益测试。</w:t>
      </w:r>
    </w:p>
    <w:p>
      <w:pPr>
        <w:pStyle w:val="正文内容"/>
        <w:spacing w:before="0" w:after="0" w:line="240" w:lineRule="auto"/>
        <w:ind w:left="0" w:right="0" w:firstLine="560"/>
        <w:jc w:val="both"/>
      </w:pPr>
      <w:r>
        <w:rPr>
          <w:rFonts w:ascii="Times New Roman" w:hAnsi="Times New Roman" w:cs="Times New Roman" w:eastAsia="仿宋"/>
          <w:b w:val="0"/>
          <w:sz w:val="28"/>
        </w:rPr>
        <w:t>提案同时澄清，选举合约在相关联邦法律下不被视为“赌博”。路透社报道称，这或进一步缓解Kalshi和Polymarket等平台的监管不确定性——它们在2024年美国总统大选期间因交易者转向预测市场衡量选情而声名鹊起。</w:t>
      </w:r>
    </w:p>
    <w:p>
      <w:pPr>
        <w:pStyle w:val="正文内容"/>
        <w:spacing w:before="0" w:after="0" w:line="240" w:lineRule="auto"/>
        <w:ind w:left="0" w:right="0" w:firstLine="560"/>
        <w:jc w:val="both"/>
      </w:pPr>
      <w:r>
        <w:rPr>
          <w:rFonts w:ascii="Times New Roman" w:hAnsi="Times New Roman" w:cs="Times New Roman" w:eastAsia="仿宋"/>
          <w:b w:val="0"/>
          <w:sz w:val="28"/>
        </w:rPr>
        <w:t>草案将开放45天的公众意见征询期，可能有助于界定未来美国预测市场的监管格局。纽约Cahill Gordon &amp; Reindel LLP合伙人Gary Kalbaugh表示，该提案是原则性的而非全面批准，每份合约仍须逐案接受公共利益分析。</w:t>
      </w:r>
    </w:p>
    <w:p>
      <w:pPr>
        <w:pStyle w:val="正文内容"/>
        <w:spacing w:before="0" w:after="0" w:line="240" w:lineRule="auto"/>
        <w:ind w:left="0" w:right="0" w:firstLine="560"/>
        <w:jc w:val="both"/>
      </w:pPr>
      <w:r>
        <w:rPr>
          <w:rFonts w:ascii="Times New Roman" w:hAnsi="Times New Roman" w:cs="Times New Roman" w:eastAsia="仿宋"/>
          <w:b w:val="0"/>
          <w:sz w:val="28"/>
        </w:rPr>
        <w:t>Gary Kalbaugh在周三写道：“‘赌博’的定义范围比预期更广，囊括了体育赛事。基于总得分、胜负、赛季统计数据等总括结果结算的合约，被推定许可。”</w:t>
      </w:r>
    </w:p>
    <w:p>
      <w:pPr>
        <w:pStyle w:val="正文内容"/>
        <w:spacing w:before="0" w:after="0" w:line="240" w:lineRule="auto"/>
        <w:ind w:left="0" w:right="0" w:firstLine="560"/>
        <w:jc w:val="both"/>
      </w:pPr>
      <w:r>
        <w:rPr>
          <w:rFonts w:ascii="Times New Roman" w:hAnsi="Times New Roman" w:cs="Times New Roman" w:eastAsia="仿宋"/>
          <w:b w:val="0"/>
          <w:sz w:val="28"/>
        </w:rPr>
        <w:t>随着预测市场势头渐增，监管进一步明朗化。草案中将预测市场描述为“资产类别”，Kalshi和Polymarket估值已达数十亿美元，投资者和机构兴趣上升。两家公司均扩大了与传统金融市场的联系。</w:t>
      </w:r>
    </w:p>
    <w:p>
      <w:pPr>
        <w:pStyle w:val="正文内容"/>
        <w:spacing w:before="0" w:after="0" w:line="240" w:lineRule="auto"/>
        <w:ind w:left="0" w:right="0" w:firstLine="560"/>
        <w:jc w:val="both"/>
      </w:pPr>
      <w:r>
        <w:rPr>
          <w:rFonts w:ascii="Times New Roman" w:hAnsi="Times New Roman" w:cs="Times New Roman" w:eastAsia="仿宋"/>
          <w:b w:val="0"/>
          <w:sz w:val="28"/>
        </w:rPr>
        <w:t>Kalshi最近与Nasdaq合作，推出新型预测市场，允许用户预测私营企业在首次公开募股前的未来估值。Polymarket则与Dow Jones合作，将实时预测市场数据整合到其媒体品牌中，包括《华尔街日报》。</w:t>
      </w:r>
    </w:p>
    <w:p>
      <w:pPr>
        <w:pStyle w:val="正文内容"/>
        <w:spacing w:before="0" w:after="0" w:line="240" w:lineRule="auto"/>
        <w:ind w:left="0" w:right="0" w:firstLine="560"/>
        <w:jc w:val="both"/>
      </w:pPr>
      <w:r>
        <w:rPr>
          <w:rFonts w:ascii="Times New Roman" w:hAnsi="Times New Roman" w:cs="Times New Roman" w:eastAsia="仿宋"/>
          <w:b w:val="0"/>
          <w:sz w:val="28"/>
        </w:rPr>
        <w:t>乔治城大学法律中心体育法与公司金融教授Melinda Roth表示：“预测市场继续走向主流，与新闻机构建立新合作关系，更多公司快速进入这一领域。随着市场持续增长，未解问题在于事件合约是金融工具还是仅仅是赌博。”</w:t>
      </w:r>
    </w:p>
    <w:p>
      <w:pPr>
        <w:pStyle w:val="正文内容"/>
        <w:spacing w:before="0" w:after="0" w:line="240" w:lineRule="auto"/>
        <w:ind w:left="0" w:right="0" w:firstLine="560"/>
        <w:jc w:val="both"/>
      </w:pPr>
      <w:r>
        <w:rPr>
          <w:rFonts w:ascii="Times New Roman" w:hAnsi="Times New Roman" w:cs="Times New Roman" w:eastAsia="仿宋"/>
          <w:b w:val="0"/>
          <w:sz w:val="28"/>
        </w:rPr>
        <w:t>伯恩斯坦分析师称，预测市场正迎来机构采用增长，投资者通过二元结果合约寻求另类宏观对冲工具。</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原文标题：CFTC proposes framework favoring sports event contracts over gambling</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原文链接：https://cointelegraph.com/news/cftc-prediction-market-rules-sports-election-contracts</w:t>
      </w:r>
    </w:p>
    <w:p/>
    <w:p>
      <w:pPr>
        <w:pStyle w:val="文章一级标题"/>
        <w:spacing w:before="0" w:after="0" w:line="240" w:lineRule="auto"/>
        <w:ind w:left="0" w:right="0" w:firstLine="0"/>
        <w:jc w:val="center"/>
      </w:pPr>
      <w:r>
        <w:rPr>
          <w:rFonts w:ascii="Times New Roman" w:hAnsi="Times New Roman" w:cs="Times New Roman" w:eastAsia="黑体"/>
          <w:b w:val="0"/>
          <w:sz w:val="30"/>
        </w:rPr>
        <w:t>欧盟提议禁止11家加密平台交易以强化对俄制裁</w:t>
      </w:r>
    </w:p>
    <w:p>
      <w:pPr>
        <w:spacing w:before="0" w:after="0" w:line="240" w:lineRule="auto"/>
        <w:ind w:left="0" w:right="0" w:firstLine="0"/>
        <w:jc w:val="both"/>
      </w:pPr>
      <w:r>
        <w:rPr>
          <w:rFonts w:ascii="Times New Roman" w:hAnsi="Times New Roman" w:cs="Times New Roman" w:eastAsia="仿宋"/>
          <w:b w:val="0"/>
          <w:sz w:val="28"/>
        </w:rPr>
        <w:t>· 欧盟提议在其第21轮对俄制裁中禁止与11家加密平台进行交易，但未公开具体平台名称。</w:t>
      </w:r>
    </w:p>
    <w:p>
      <w:pPr>
        <w:spacing w:before="0" w:after="0" w:line="240" w:lineRule="auto"/>
        <w:ind w:left="0" w:right="0" w:firstLine="0"/>
        <w:jc w:val="both"/>
      </w:pPr>
      <w:r>
        <w:rPr>
          <w:rFonts w:ascii="Times New Roman" w:hAnsi="Times New Roman" w:cs="Times New Roman" w:eastAsia="仿宋"/>
          <w:b w:val="0"/>
          <w:sz w:val="28"/>
        </w:rPr>
        <w:t>· 欧盟委员会副主席卡娅·卡拉斯（Kaja Kallas）表示，措施还包括收紧对第三国加密资产服务的禁令。</w:t>
      </w:r>
    </w:p>
    <w:p>
      <w:pPr>
        <w:spacing w:before="0" w:after="0" w:line="240" w:lineRule="auto"/>
        <w:ind w:left="0" w:right="0" w:firstLine="0"/>
        <w:jc w:val="both"/>
      </w:pPr>
      <w:r>
        <w:rPr>
          <w:rFonts w:ascii="Times New Roman" w:hAnsi="Times New Roman" w:cs="Times New Roman" w:eastAsia="仿宋"/>
          <w:b w:val="0"/>
          <w:sz w:val="28"/>
        </w:rPr>
        <w:t>· 此举背景是英国此前对HTX实施制裁，指控其支持俄罗斯关联金融网络。</w:t>
      </w:r>
    </w:p>
    <w:p>
      <w:pPr>
        <w:pStyle w:val="正文内容"/>
        <w:spacing w:before="0" w:after="0" w:line="240" w:lineRule="auto"/>
        <w:ind w:left="0" w:right="0" w:firstLine="560"/>
        <w:jc w:val="both"/>
      </w:pPr>
      <w:r>
        <w:rPr>
          <w:rFonts w:ascii="Times New Roman" w:hAnsi="Times New Roman" w:cs="Times New Roman" w:eastAsia="仿宋"/>
          <w:b w:val="0"/>
          <w:sz w:val="28"/>
        </w:rPr>
        <w:t>欧盟（EU）近日提出一项制裁方案，拟禁止与11家加密货币平台进行交易，作为其第21轮对俄制裁措施的一部分。该提案旨在进一步切断俄罗斯规避制裁的途径，扩大针对协助俄方逃避限制的网络的打击范围。</w:t>
      </w:r>
    </w:p>
    <w:p>
      <w:pPr>
        <w:pStyle w:val="正文内容"/>
        <w:spacing w:before="0" w:after="0" w:line="240" w:lineRule="auto"/>
        <w:ind w:left="0" w:right="0" w:firstLine="560"/>
        <w:jc w:val="both"/>
      </w:pPr>
      <w:r>
        <w:rPr>
          <w:rFonts w:ascii="Times New Roman" w:hAnsi="Times New Roman" w:cs="Times New Roman" w:eastAsia="仿宋"/>
          <w:b w:val="0"/>
          <w:sz w:val="28"/>
        </w:rPr>
        <w:t>欧盟委员会（European Commission）副主席兼欧盟外交与安全政策高级代表卡娅·卡拉斯（Kaja Kallas）在社交媒体平台X上发文称：“我们还将收紧对某些第三国的加密资产服务禁令，新增指定实体，并禁止与11家加密平台进行交易。”该提案将欧盟的制裁行动从俄罗斯银行和能源收入扩展到被指控帮助莫斯科规避与乌克兰战争相关限制的加密企业。</w:t>
      </w:r>
    </w:p>
    <w:p>
      <w:pPr>
        <w:pStyle w:val="正文内容"/>
        <w:spacing w:before="0" w:after="0" w:line="240" w:lineRule="auto"/>
        <w:ind w:left="0" w:right="0" w:firstLine="560"/>
        <w:jc w:val="both"/>
      </w:pPr>
      <w:r>
        <w:rPr>
          <w:rFonts w:ascii="Times New Roman" w:hAnsi="Times New Roman" w:cs="Times New Roman" w:eastAsia="仿宋"/>
          <w:b w:val="0"/>
          <w:sz w:val="28"/>
        </w:rPr>
        <w:t>欧盟委员会在公开声明中并未指明这11家加密平台的具体名称。Cointelegraph在发表前曾向委员会寻求澄清，但未获得更多细节。欧盟委员会主席乌尔苏拉·冯德莱恩（Ursula von der Leyen）表示，该制裁包还包括对31家俄罗斯银行和20个第三国实体（包括银行、加密平台和石油贸易商）的禁令，称这些目标曾为受制裁的俄罗斯个人和实体提供服务或协助规避欧盟措施。</w:t>
      </w:r>
    </w:p>
    <w:p>
      <w:pPr>
        <w:pStyle w:val="正文内容"/>
        <w:spacing w:before="0" w:after="0" w:line="240" w:lineRule="auto"/>
        <w:ind w:left="0" w:right="0" w:firstLine="560"/>
        <w:jc w:val="both"/>
      </w:pPr>
      <w:r>
        <w:rPr>
          <w:rFonts w:ascii="Times New Roman" w:hAnsi="Times New Roman" w:cs="Times New Roman" w:eastAsia="仿宋"/>
          <w:b w:val="0"/>
          <w:sz w:val="28"/>
        </w:rPr>
        <w:t>本次欧盟提案是在英国于5月26日对HTX背后的巴拿马公司Huobi Global S.A.实施制裁之后提出的。英国当局指控HTX涉嫌支持俄罗斯关联金融网络，称有合理理由怀疑HTX通过A7 Limited Liability Company和Garantex（两者均为受制裁实体）提供的金融服务和资金支持了俄罗斯政府。</w:t>
      </w:r>
    </w:p>
    <w:p>
      <w:pPr>
        <w:pStyle w:val="正文内容"/>
        <w:spacing w:before="0" w:after="0" w:line="240" w:lineRule="auto"/>
        <w:ind w:left="0" w:right="0" w:firstLine="560"/>
        <w:jc w:val="both"/>
      </w:pPr>
      <w:r>
        <w:rPr>
          <w:rFonts w:ascii="Times New Roman" w:hAnsi="Times New Roman" w:cs="Times New Roman" w:eastAsia="仿宋"/>
          <w:b w:val="0"/>
          <w:sz w:val="28"/>
        </w:rPr>
        <w:t>HTX已否认相关指控，称受制裁实体与在线交易所是分开的。随后，Global Ledger的一份报告显示，在2021年至2026年5月期间，HTX处理了约210.6亿美元的高风险加密货币流转，其中至少76.4亿美元涉及俄罗斯高风险实体和暗网市场，包括Garantex、其继承者Grinex、A7A5和Hydra。</w:t>
      </w:r>
    </w:p>
    <w:p>
      <w:pPr>
        <w:pStyle w:val="正文内容"/>
        <w:spacing w:before="0" w:after="0" w:line="240" w:lineRule="auto"/>
        <w:ind w:left="0" w:right="0" w:firstLine="560"/>
        <w:jc w:val="both"/>
      </w:pPr>
      <w:r>
        <w:rPr>
          <w:rFonts w:ascii="Times New Roman" w:hAnsi="Times New Roman" w:cs="Times New Roman" w:eastAsia="仿宋"/>
          <w:b w:val="0"/>
          <w:sz w:val="28"/>
        </w:rPr>
        <w:t>英国对HTX的制裁此前曾遭到区块链研究人员的批评，他们警告称，广泛的交易所级污染可能冻结合法用户，并降低加密货币合规工具追踪非法资金的有效性。</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原文标题：EU proposes ban on 11 crypto platforms in Russia sanctions push</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原文链接：https://cointelegraph.com/news/eu-russia-sanctions-11-crypto-platforms</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【行业前沿】</w:t>
      </w:r>
    </w:p>
    <w:p>
      <w:pPr>
        <w:pStyle w:val="文章一级标题"/>
        <w:spacing w:before="0" w:after="0" w:line="240" w:lineRule="auto"/>
        <w:ind w:left="0" w:right="0" w:firstLine="0"/>
        <w:jc w:val="center"/>
      </w:pPr>
      <w:r>
        <w:rPr>
          <w:rFonts w:ascii="Times New Roman" w:hAnsi="Times New Roman" w:cs="Times New Roman" w:eastAsia="黑体"/>
          <w:b w:val="0"/>
          <w:sz w:val="30"/>
        </w:rPr>
        <w:t>Solana去中心化交易所Raydium遭134万美元攻击DeFi攻击事件增多</w:t>
      </w:r>
    </w:p>
    <w:p>
      <w:pPr>
        <w:spacing w:before="0" w:after="0" w:line="240" w:lineRule="auto"/>
        <w:ind w:left="0" w:right="0" w:firstLine="0"/>
        <w:jc w:val="both"/>
      </w:pPr>
      <w:r>
        <w:rPr>
          <w:rFonts w:ascii="Times New Roman" w:hAnsi="Times New Roman" w:cs="Times New Roman" w:eastAsia="仿宋"/>
          <w:b w:val="0"/>
          <w:sz w:val="28"/>
        </w:rPr>
        <w:t>· Solana链上DEX Raydium五个已废弃流动性池遭利用，损失超134万美元。</w:t>
      </w:r>
    </w:p>
    <w:p>
      <w:pPr>
        <w:spacing w:before="0" w:after="0" w:line="240" w:lineRule="auto"/>
        <w:ind w:left="0" w:right="0" w:firstLine="0"/>
        <w:jc w:val="both"/>
      </w:pPr>
      <w:r>
        <w:rPr>
          <w:rFonts w:ascii="Times New Roman" w:hAnsi="Times New Roman" w:cs="Times New Roman" w:eastAsia="仿宋"/>
          <w:b w:val="0"/>
          <w:sz w:val="28"/>
        </w:rPr>
        <w:t>· 攻击者绕过验证逻辑铸造LP代币，盗取约90万USDC、35.7万SOL和8.6万RAY。</w:t>
      </w:r>
    </w:p>
    <w:p>
      <w:pPr>
        <w:spacing w:before="0" w:after="0" w:line="240" w:lineRule="auto"/>
        <w:ind w:left="0" w:right="0" w:firstLine="0"/>
        <w:jc w:val="both"/>
      </w:pPr>
      <w:r>
        <w:rPr>
          <w:rFonts w:ascii="Times New Roman" w:hAnsi="Times New Roman" w:cs="Times New Roman" w:eastAsia="仿宋"/>
          <w:b w:val="0"/>
          <w:sz w:val="28"/>
        </w:rPr>
        <w:t>· Raydium表示将用国库资金全额赔偿，当前主网程序不受影响。</w:t>
      </w:r>
    </w:p>
    <w:p>
      <w:pPr>
        <w:pStyle w:val="正文内容"/>
        <w:spacing w:before="0" w:after="0" w:line="240" w:lineRule="auto"/>
        <w:ind w:left="0" w:right="0" w:firstLine="560"/>
        <w:jc w:val="both"/>
      </w:pPr>
      <w:r>
        <w:rPr>
          <w:rFonts w:ascii="Times New Roman" w:hAnsi="Times New Roman" w:cs="Times New Roman" w:eastAsia="仿宋"/>
          <w:b w:val="0"/>
          <w:sz w:val="28"/>
        </w:rPr>
        <w:t>6月10日，Solana链上去中心化交易所Raydium遭遇漏洞攻击，五个已废弃的流动性池被利用，导致超134万美元被盗。此次攻击针对该公司旧版的自动做市商程序，该程序此前已于2021年停用。Raydium贡献者0xInfra在X平台上表示，当前用户未受影响，也无法通过前端界面与这些池交互。</w:t>
      </w:r>
    </w:p>
    <w:p>
      <w:pPr>
        <w:pStyle w:val="正文内容"/>
        <w:spacing w:before="0" w:after="0" w:line="240" w:lineRule="auto"/>
        <w:ind w:left="0" w:right="0" w:firstLine="560"/>
        <w:jc w:val="both"/>
      </w:pPr>
      <w:r>
        <w:rPr>
          <w:rFonts w:ascii="Times New Roman" w:hAnsi="Times New Roman" w:cs="Times New Roman" w:eastAsia="仿宋"/>
          <w:b w:val="0"/>
          <w:sz w:val="28"/>
        </w:rPr>
        <w:t>攻击者地址以“Bq33QVk”结尾，通过绕过已废弃程序中的验证逻辑，成功铸造新的流动性提供者代币，从而非法提取流动性。具体来说，攻击者盗取了约90万美元的美元稳定币USDC、35.7万美元的Solana（SOL）以及8.6万美元的Raydium原生代币RAY。Raydium表示将使用国库资金全额偿还这些损失。</w:t>
      </w:r>
    </w:p>
    <w:p>
      <w:pPr>
        <w:pStyle w:val="正文内容"/>
        <w:spacing w:before="0" w:after="0" w:line="240" w:lineRule="auto"/>
        <w:ind w:left="0" w:right="0" w:firstLine="560"/>
        <w:jc w:val="both"/>
      </w:pPr>
      <w:r>
        <w:rPr>
          <w:rFonts w:ascii="Times New Roman" w:hAnsi="Times New Roman" w:cs="Times New Roman" w:eastAsia="仿宋"/>
          <w:b w:val="0"/>
          <w:sz w:val="28"/>
        </w:rPr>
        <w:t>0xInfra强调，该漏洞并非由“密钥泄露或权限级别问题”导致，且Raydium现有的主网程序已防止此类漏洞。此次攻击发生在DeFi安全事件频发的背景之下。今年4月，KelpDAO和Solana链上的Drift Protocol分别遭遇攻击，各自损失近3亿美元。上周，隐私网络Zcash因开发者披露一项存在四年的漏洞，导致其代币在24小时内暴跌超40%。</w:t>
      </w:r>
    </w:p>
    <w:p>
      <w:pPr>
        <w:pStyle w:val="正文内容"/>
        <w:spacing w:before="0" w:after="0" w:line="240" w:lineRule="auto"/>
        <w:ind w:left="0" w:right="0" w:firstLine="560"/>
        <w:jc w:val="both"/>
      </w:pPr>
      <w:r>
        <w:rPr>
          <w:rFonts w:ascii="Times New Roman" w:hAnsi="Times New Roman" w:cs="Times New Roman" w:eastAsia="仿宋"/>
          <w:b w:val="0"/>
          <w:sz w:val="28"/>
        </w:rPr>
        <w:t>尽管暂无证据表明AI被用于Raydium攻击，但5月有分析师对Decrypt表示，AI正通过“自动化熟练审计员的工作”改变漏洞发现方式。此次攻击发生前一天，AI公司Anthropic发布了升级版Mythos网络安全模型，声称具有“前所未有的网络安全能力”。Anthropic还发布了功能受限的公开版本Claude Fable 5，因其性能大打折扣而受到批评。</w:t>
      </w:r>
    </w:p>
    <w:p>
      <w:pPr>
        <w:pStyle w:val="正文内容"/>
        <w:spacing w:before="0" w:after="0" w:line="240" w:lineRule="auto"/>
        <w:ind w:left="0" w:right="0" w:firstLine="560"/>
        <w:jc w:val="both"/>
      </w:pPr>
      <w:r>
        <w:rPr>
          <w:rFonts w:ascii="Times New Roman" w:hAnsi="Times New Roman" w:cs="Times New Roman" w:eastAsia="仿宋"/>
          <w:b w:val="0"/>
          <w:sz w:val="28"/>
        </w:rPr>
        <w:t>Raydium原生代币RAY近24小时下跌约2%，最新报0.567美元。过去一周，受市场整体下行影响，RAY下跌约13%，较历史最高价16.83美元已跌去96.6%。</w:t>
      </w:r>
    </w:p>
    <w:p>
      <w:pPr>
        <w:pStyle w:val="信息来源"/>
        <w:spacing w:before="50" w:after="100" w:line="240" w:lineRule="auto"/>
        <w:ind w:left="0" w:right="0" w:firstLine="0"/>
        <w:jc w:val="right"/>
      </w:pPr>
      <w:r>
        <w:rPr>
          <w:rFonts w:ascii="Times New Roman" w:hAnsi="Times New Roman" w:cs="Times New Roman" w:eastAsia="仿宋"/>
          <w:b w:val="0"/>
          <w:sz w:val="21"/>
        </w:rPr>
        <w:t>（信息来源：Decrypt）</w:t>
      </w:r>
    </w:p>
    <w:p>
      <w:pPr>
        <w:pStyle w:val="原文信息"/>
        <w:spacing w:before="0" w:after="0" w:line="240" w:lineRule="auto"/>
        <w:ind w:left="0" w:right="0" w:firstLine="0"/>
        <w:jc w:val="left"/>
      </w:pPr>
      <w:r>
        <w:rPr>
          <w:rFonts w:ascii="Times New Roman" w:hAnsi="Times New Roman" w:cs="Times New Roman" w:eastAsia="仿宋"/>
          <w:b w:val="0"/>
          <w:sz w:val="18"/>
        </w:rPr>
        <w:t>原文标题：Solana Exchange Raydium Hit With $1.34 Million Exploit as DeFi Attacks Grow</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原文链接：https://decrypt.co/370700/solana-exchange-raydium-exploit-defi-attacks-grow</w:t>
      </w:r>
    </w:p>
    <w:p/>
    <w:p>
      <w:pPr>
        <w:pStyle w:val="文章一级标题"/>
        <w:spacing w:before="0" w:after="0" w:line="240" w:lineRule="auto"/>
        <w:ind w:left="0" w:right="0" w:firstLine="0"/>
        <w:jc w:val="center"/>
      </w:pPr>
      <w:r>
        <w:rPr>
          <w:rFonts w:ascii="Times New Roman" w:hAnsi="Times New Roman" w:cs="Times New Roman" w:eastAsia="黑体"/>
          <w:b w:val="0"/>
          <w:sz w:val="30"/>
        </w:rPr>
        <w:t>Mastercard推出AI代理支付平台支持卡、银行账户和稳定币</w:t>
      </w:r>
    </w:p>
    <w:p>
      <w:pPr>
        <w:spacing w:before="0" w:after="0" w:line="240" w:lineRule="auto"/>
        <w:ind w:left="0" w:right="0" w:firstLine="0"/>
        <w:jc w:val="both"/>
      </w:pPr>
      <w:r>
        <w:rPr>
          <w:rFonts w:ascii="Times New Roman" w:hAnsi="Times New Roman" w:cs="Times New Roman" w:eastAsia="仿宋"/>
          <w:b w:val="0"/>
          <w:sz w:val="28"/>
        </w:rPr>
        <w:t>· Mastercard推出Agent Pay for Machines（AP4M）平台，让AI代理和软件系统通过卡、银行账户和稳定币进行安全自动支付。</w:t>
      </w:r>
    </w:p>
    <w:p>
      <w:pPr>
        <w:spacing w:before="0" w:after="0" w:line="240" w:lineRule="auto"/>
        <w:ind w:left="0" w:right="0" w:firstLine="0"/>
        <w:jc w:val="both"/>
      </w:pPr>
      <w:r>
        <w:rPr>
          <w:rFonts w:ascii="Times New Roman" w:hAnsi="Times New Roman" w:cs="Times New Roman" w:eastAsia="仿宋"/>
          <w:b w:val="0"/>
          <w:sz w:val="28"/>
        </w:rPr>
        <w:t>· 该平台通过身份验证、支出限制和Mastercard网络结算保证，为代理商业建立信任与控制。</w:t>
      </w:r>
    </w:p>
    <w:p>
      <w:pPr>
        <w:spacing w:before="0" w:after="0" w:line="240" w:lineRule="auto"/>
        <w:ind w:left="0" w:right="0" w:firstLine="0"/>
        <w:jc w:val="both"/>
      </w:pPr>
      <w:r>
        <w:rPr>
          <w:rFonts w:ascii="Times New Roman" w:hAnsi="Times New Roman" w:cs="Times New Roman" w:eastAsia="仿宋"/>
          <w:b w:val="0"/>
          <w:sz w:val="28"/>
        </w:rPr>
        <w:t>· 超过30家公司加入该倡议，包括Coinbase、Stripe和Adyen，代理权限和凭证最初记录在Polygon、Solana和Base区块链上。</w:t>
      </w:r>
    </w:p>
    <w:p>
      <w:pPr>
        <w:pStyle w:val="正文内容"/>
        <w:spacing w:before="0" w:after="0" w:line="240" w:lineRule="auto"/>
        <w:ind w:left="0" w:right="0" w:firstLine="560"/>
        <w:jc w:val="both"/>
      </w:pPr>
      <w:r>
        <w:rPr>
          <w:rFonts w:ascii="Times New Roman" w:hAnsi="Times New Roman" w:cs="Times New Roman" w:eastAsia="仿宋"/>
          <w:b w:val="0"/>
          <w:sz w:val="28"/>
        </w:rPr>
        <w:t>支付巨头Mastercard（MA）正在押注AI代理将很快成为经济的活跃参与者，并希望其支付网络处于这一转变的中心。该公司于周二推出了Agent Pay for Machines（AP4M）服务，使AI代理和软件系统能够安全、大规模地进行相互支付。该平台支持通过卡、银行账户和稳定币的自动交易，同时通过Mastercard网络提供身份验证、支出控制和结算保证。</w:t>
      </w:r>
    </w:p>
    <w:p>
      <w:pPr>
        <w:pStyle w:val="正文内容"/>
        <w:spacing w:before="0" w:after="0" w:line="240" w:lineRule="auto"/>
        <w:ind w:left="0" w:right="0" w:firstLine="560"/>
        <w:jc w:val="both"/>
      </w:pPr>
      <w:r>
        <w:rPr>
          <w:rFonts w:ascii="Times New Roman" w:hAnsi="Times New Roman" w:cs="Times New Roman" w:eastAsia="仿宋"/>
          <w:b w:val="0"/>
          <w:sz w:val="28"/>
        </w:rPr>
        <w:t>该服务的推出正值科技、支付和加密领域的公司竞相为所谓的“代理商业”（agentic commerce）建设基础设施之际。在代理商业中，AI系统代表用户完成任务、购买服务和协调交易。据一些估计，到本十年末，代理可能参与价值数万亿美元的交易。Mastercard区块链和数字资产产品及合作伙伴执行副总裁Raj Dhamodharan告诉CoinDesk：“我们已经看到许多服务和代理涌现，提供各种产品和服务。”这些服务包括预订旅行、建网站、创作艺术品以及完成其他数字任务。</w:t>
      </w:r>
    </w:p>
    <w:p>
      <w:pPr>
        <w:pStyle w:val="正文内容"/>
        <w:spacing w:before="0" w:after="0" w:line="240" w:lineRule="auto"/>
        <w:ind w:left="0" w:right="0" w:firstLine="560"/>
        <w:jc w:val="both"/>
      </w:pPr>
      <w:r>
        <w:rPr>
          <w:rFonts w:ascii="Times New Roman" w:hAnsi="Times New Roman" w:cs="Times New Roman" w:eastAsia="仿宋"/>
          <w:b w:val="0"/>
          <w:sz w:val="28"/>
        </w:rPr>
        <w:t>Dhamodharan表示，下一个挑战是在这些系统之间建立信任。企业和消费者需要确信代理正在与合法的对手方互动，并在授权的支出限额内运作。同时，服务提供商需要确保他们能收到付款。“这些是我们在B2B和卡支付领域已经解决了几十年的问题，”Dhamodharan说，“我们正在带来相同水平的信任和能力，以找到合适的代理，传达您实际上会完成付款，并确保人们能够获得付款。”</w:t>
      </w:r>
    </w:p>
    <w:p>
      <w:pPr>
        <w:pStyle w:val="正文内容"/>
        <w:spacing w:before="0" w:after="0" w:line="240" w:lineRule="auto"/>
        <w:ind w:left="0" w:right="0" w:firstLine="560"/>
        <w:jc w:val="both"/>
      </w:pPr>
      <w:r>
        <w:rPr>
          <w:rFonts w:ascii="Times New Roman" w:hAnsi="Times New Roman" w:cs="Times New Roman" w:eastAsia="仿宋"/>
          <w:b w:val="0"/>
          <w:sz w:val="28"/>
        </w:rPr>
        <w:t>该平台旨在通过凭证、权限和结算服务来解决这些问题。Mastercard表示，该系统可以验证代理身份，执行支出规则，并通过多种支付方式（包括稳定币）结算付款。超过30家公司已加入该倡议，包括Coinbase（COIN）、Stripe、Adyen、Checkout.com、Cloudflare、RippleX、Polygon Labs、Solana Foundation和OKX。</w:t>
      </w:r>
    </w:p>
    <w:p>
      <w:pPr>
        <w:pStyle w:val="正文内容"/>
        <w:spacing w:before="0" w:after="0" w:line="240" w:lineRule="auto"/>
        <w:ind w:left="0" w:right="0" w:firstLine="560"/>
        <w:jc w:val="both"/>
      </w:pPr>
      <w:r>
        <w:rPr>
          <w:rFonts w:ascii="Times New Roman" w:hAnsi="Times New Roman" w:cs="Times New Roman" w:eastAsia="仿宋"/>
          <w:b w:val="0"/>
          <w:sz w:val="28"/>
        </w:rPr>
        <w:t>Mastercard表示，与AI代理相关的权限和凭证最初将记录在Polygon、Solana和Base区块链上。虽然大规模机器对机器商业仍处于萌芽阶段，但Dhamodharan表示，Mastercard已经看到了需求迹象。他指出了围绕HTTP 402（一种新兴的互联网支付标准）活动日益增多的情况，其中自动交易往往因没有可用的支付方式而失败。他说：“交易已经在发生，很多拒绝已经发生，因为没有可用的支付选项。在我们看来，这是一个领先指标。”</w:t>
      </w:r>
    </w:p>
    <w:p>
      <w:pPr>
        <w:pStyle w:val="正文内容"/>
        <w:spacing w:before="0" w:after="0" w:line="240" w:lineRule="auto"/>
        <w:ind w:left="0" w:right="0" w:firstLine="560"/>
        <w:jc w:val="both"/>
      </w:pPr>
      <w:r>
        <w:rPr>
          <w:rFonts w:ascii="Times New Roman" w:hAnsi="Times New Roman" w:cs="Times New Roman" w:eastAsia="仿宋"/>
          <w:b w:val="0"/>
          <w:sz w:val="28"/>
        </w:rPr>
        <w:t>Mastercard表示计划在今年晚些时候扩大对Agent Pay for Machines的访问。</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原文标题：Mastercard prepares for a future where AI agents make payments</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原文链接：https://www.coindesk.com/business/2026/06/10/mastercard-prepares-for-a-future-where-ai-agents-make-payments-with-latest-introduction</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【市场动态】</w:t>
      </w:r>
    </w:p>
    <w:p>
      <w:pPr>
        <w:pStyle w:val="文章一级标题"/>
        <w:spacing w:before="0" w:after="0" w:line="240" w:lineRule="auto"/>
        <w:ind w:left="0" w:right="0" w:firstLine="0"/>
        <w:jc w:val="center"/>
      </w:pPr>
      <w:r>
        <w:rPr>
          <w:rFonts w:ascii="Times New Roman" w:hAnsi="Times New Roman" w:cs="Times New Roman" w:eastAsia="黑体"/>
          <w:b w:val="0"/>
          <w:sz w:val="30"/>
        </w:rPr>
        <w:t>Fold出售4500万美元比特币以清偿抵押债务</w:t>
      </w:r>
    </w:p>
    <w:p>
      <w:pPr>
        <w:spacing w:before="0" w:after="0" w:line="240" w:lineRule="auto"/>
        <w:ind w:left="0" w:right="0" w:firstLine="0"/>
        <w:jc w:val="both"/>
      </w:pPr>
      <w:r>
        <w:rPr>
          <w:rFonts w:ascii="Times New Roman" w:hAnsi="Times New Roman" w:cs="Times New Roman" w:eastAsia="仿宋"/>
          <w:b w:val="0"/>
          <w:sz w:val="28"/>
        </w:rPr>
        <w:t>· Fold Holdings出售约4500万美元比特币，均价每枚71000美元，约为634枚比特币。</w:t>
      </w:r>
    </w:p>
    <w:p>
      <w:pPr>
        <w:spacing w:before="0" w:after="0" w:line="240" w:lineRule="auto"/>
        <w:ind w:left="0" w:right="0" w:firstLine="0"/>
        <w:jc w:val="both"/>
      </w:pPr>
      <w:r>
        <w:rPr>
          <w:rFonts w:ascii="Times New Roman" w:hAnsi="Times New Roman" w:cs="Times New Roman" w:eastAsia="仿宋"/>
          <w:b w:val="0"/>
          <w:sz w:val="28"/>
        </w:rPr>
        <w:t>· 出售所得中2000万美元用于清偿全部比特币抵押债务，2500万美元用于公司发展。</w:t>
      </w:r>
    </w:p>
    <w:p>
      <w:pPr>
        <w:spacing w:before="0" w:after="0" w:line="240" w:lineRule="auto"/>
        <w:ind w:left="0" w:right="0" w:firstLine="0"/>
        <w:jc w:val="both"/>
      </w:pPr>
      <w:r>
        <w:rPr>
          <w:rFonts w:ascii="Times New Roman" w:hAnsi="Times New Roman" w:cs="Times New Roman" w:eastAsia="仿宋"/>
          <w:b w:val="0"/>
          <w:sz w:val="28"/>
        </w:rPr>
        <w:t>· 此次出售降低了融资风险，改善了现金流，为Fold的比特币信用卡等产品扩展提供资金。</w:t>
      </w:r>
    </w:p>
    <w:p>
      <w:pPr>
        <w:pStyle w:val="正文内容"/>
        <w:spacing w:before="0" w:after="0" w:line="240" w:lineRule="auto"/>
        <w:ind w:left="0" w:right="0" w:firstLine="560"/>
        <w:jc w:val="both"/>
      </w:pPr>
      <w:r>
        <w:rPr>
          <w:rFonts w:ascii="Times New Roman" w:hAnsi="Times New Roman" w:cs="Times New Roman" w:eastAsia="仿宋"/>
          <w:b w:val="0"/>
          <w:sz w:val="28"/>
        </w:rPr>
        <w:t>Fold Holdings出售了价值约4500万美元的比特币，以全额偿还其抵押贷款并释放资本用于公司发展，这是一家采用比特币财务策略的上市公司在资产负债表上的显著动作。该公司表示，它以每枚比特币71000美元的平均价格变现了比特币。按此价格计算，该交易意味着Fold出售了约634枚比特币。</w:t>
      </w:r>
    </w:p>
    <w:p>
      <w:pPr>
        <w:pStyle w:val="正文内容"/>
        <w:spacing w:before="0" w:after="0" w:line="240" w:lineRule="auto"/>
        <w:ind w:left="0" w:right="0" w:firstLine="560"/>
        <w:jc w:val="both"/>
      </w:pPr>
      <w:r>
        <w:rPr>
          <w:rFonts w:ascii="Times New Roman" w:hAnsi="Times New Roman" w:cs="Times New Roman" w:eastAsia="仿宋"/>
          <w:b w:val="0"/>
          <w:sz w:val="28"/>
        </w:rPr>
        <w:t>出售所得分为债务削减和增长资金两部分，其中2000万美元用于消除所有以比特币为抵押的债务，2500万美元用于公司发展。在比特币价格从公司实现售价下跌之际，此次出售为Fold提供了更大的现金灵活性。截至发稿时，比特币交易价格接近61200美元，Fold的平均退出价格明显高于当前现货水平。</w:t>
      </w:r>
    </w:p>
    <w:p>
      <w:pPr>
        <w:pStyle w:val="正文内容"/>
        <w:spacing w:before="0" w:after="0" w:line="240" w:lineRule="auto"/>
        <w:ind w:left="0" w:right="0" w:firstLine="560"/>
        <w:jc w:val="both"/>
      </w:pPr>
      <w:r>
        <w:rPr>
          <w:rFonts w:ascii="Times New Roman" w:hAnsi="Times New Roman" w:cs="Times New Roman" w:eastAsia="仿宋"/>
          <w:b w:val="0"/>
          <w:sz w:val="28"/>
        </w:rPr>
        <w:t>这一决定还改变了公司资产负债表的风险状况。由于已偿还的贷款由比特币抵押担保，Fold不仅面临债务义务，还面临如果比特币价格继续走弱可能带来的抵押品压力。取消该结构降低了融资风险，并减少了短期波动迫使管理层做出不利决策的可能性。</w:t>
      </w:r>
    </w:p>
    <w:p>
      <w:pPr>
        <w:pStyle w:val="正文内容"/>
        <w:spacing w:before="0" w:after="0" w:line="240" w:lineRule="auto"/>
        <w:ind w:left="0" w:right="0" w:firstLine="560"/>
        <w:jc w:val="both"/>
      </w:pPr>
      <w:r>
        <w:rPr>
          <w:rFonts w:ascii="Times New Roman" w:hAnsi="Times New Roman" w:cs="Times New Roman" w:eastAsia="仿宋"/>
          <w:b w:val="0"/>
          <w:sz w:val="28"/>
        </w:rPr>
        <w:t>Fold将这笔交易描述为在其关键产品扩展期之前的一项防御性举措。通过偿还比特币支持的贷款，该公司取消了每月现金利息支付，并预计其现金流状况将立即改善。这很重要，因为持有比特币的公司在市场低迷时期可能面临艰难权衡。持有比特币支持财务叙事，但使用比特币作为抵押品会在价格下跌时增加财务压力。</w:t>
      </w:r>
    </w:p>
    <w:p>
      <w:pPr>
        <w:pStyle w:val="正文内容"/>
        <w:spacing w:before="0" w:after="0" w:line="240" w:lineRule="auto"/>
        <w:ind w:left="0" w:right="0" w:firstLine="560"/>
        <w:jc w:val="both"/>
      </w:pPr>
      <w:r>
        <w:rPr>
          <w:rFonts w:ascii="Times New Roman" w:hAnsi="Times New Roman" w:cs="Times New Roman" w:eastAsia="仿宋"/>
          <w:b w:val="0"/>
          <w:sz w:val="28"/>
        </w:rPr>
        <w:t>Fold的出售将其部分数字资产敞口转换为无限制现金，同时消除了与同一波动资产相关的负债。董事长兼首席执行官Will Reeves表示，公司已采取行动保护其运营计划。Reeves在新闻稿中说：“我们降低了融资风险，加强了资产负债表，并确保短期市场波动不会阻碍我们执行路线图。”</w:t>
      </w:r>
    </w:p>
    <w:p>
      <w:pPr>
        <w:pStyle w:val="正文内容"/>
        <w:spacing w:before="0" w:after="0" w:line="240" w:lineRule="auto"/>
        <w:ind w:left="0" w:right="0" w:firstLine="560"/>
        <w:jc w:val="both"/>
      </w:pPr>
      <w:r>
        <w:rPr>
          <w:rFonts w:ascii="Times New Roman" w:hAnsi="Times New Roman" w:cs="Times New Roman" w:eastAsia="仿宋"/>
          <w:b w:val="0"/>
          <w:sz w:val="28"/>
        </w:rPr>
        <w:t>剩余的2500万美元预计将用于支持Fold的消费者和企业平台。管理层将其最近推出的比特币信用卡（Bitcoin Credit Card）作为主要增长引擎，额外流动性旨在帮助支持更大的持卡人基础，并带来更多的融资合作伙伴关系。</w:t>
      </w:r>
    </w:p>
    <w:p>
      <w:pPr>
        <w:pStyle w:val="正文内容"/>
        <w:spacing w:before="0" w:after="0" w:line="240" w:lineRule="auto"/>
        <w:ind w:left="0" w:right="0" w:firstLine="560"/>
        <w:jc w:val="both"/>
      </w:pPr>
      <w:r>
        <w:rPr>
          <w:rFonts w:ascii="Times New Roman" w:hAnsi="Times New Roman" w:cs="Times New Roman" w:eastAsia="仿宋"/>
          <w:b w:val="0"/>
          <w:sz w:val="28"/>
        </w:rPr>
        <w:t>此次出售并不一定意味着Fold从比特币策略中撤退。它显示出从杠杆化的比特币敞口转向资产负债表保护、现金流改善以及在市场疲软时期的产品执行。根据比特币金库数据，在周三披露之前，Fold的持仓约为826枚BTC，尽管该数字尚未更新以反映此交易。调整后，公司剩余的比特币余额将减少，但其无限制现金余额和债务状况将发生显著变化。</w:t>
      </w:r>
    </w:p>
    <w:p>
      <w:pPr>
        <w:pStyle w:val="正文内容"/>
        <w:spacing w:before="0" w:after="0" w:line="240" w:lineRule="auto"/>
        <w:ind w:left="0" w:right="0" w:firstLine="560"/>
        <w:jc w:val="both"/>
      </w:pPr>
      <w:r>
        <w:rPr>
          <w:rFonts w:ascii="Times New Roman" w:hAnsi="Times New Roman" w:cs="Times New Roman" w:eastAsia="仿宋"/>
          <w:b w:val="0"/>
          <w:sz w:val="28"/>
        </w:rPr>
        <w:t>Fold还表示，如果管理层认为这样做对股东而言是资本的最高回报用途，它保留变现额外比特币持仓的选择权。其循环信贷额度仍然可用，为公司提供了另一种流动性来源。这种措辞使管理层有空间优先考虑运营增长，而不是固定的比特币持有目标。对于投资者而言，关键问题是Fold能否利用释放的资本扩展其卡和业务，从而证明减少部分比特币敞口是合理的。</w:t>
      </w:r>
    </w:p>
    <w:p>
      <w:pPr>
        <w:pStyle w:val="正文内容"/>
        <w:spacing w:before="0" w:after="0" w:line="240" w:lineRule="auto"/>
        <w:ind w:left="0" w:right="0" w:firstLine="560"/>
        <w:jc w:val="both"/>
      </w:pPr>
      <w:r>
        <w:rPr>
          <w:rFonts w:ascii="Times New Roman" w:hAnsi="Times New Roman" w:cs="Times New Roman" w:eastAsia="仿宋"/>
          <w:b w:val="0"/>
          <w:sz w:val="28"/>
        </w:rPr>
        <w:t>Fold的举措使其成为本周期内出售持仓的一小部分但不断增长的公开比特币公司之一。最大的企业比特币持有者Strategy在5月26日至31日期间出售了32枚比特币，约250万美元，这是自2022年以来的首次出售。Nakamoto Inc.在3月以每枚约70422美元的平均价格出售了约284枚比特币，获得2000万美元，据报道其成本基础大幅亏损。这些出售并不意味着公共公司正在放弃比特币金库。它们确实表明，随着公司在市场敞口、债务、流动性和运营需求之间取得平衡，财务策略变得更加灵活。</w:t>
      </w:r>
    </w:p>
    <w:p>
      <w:pPr>
        <w:pStyle w:val="正文内容"/>
        <w:spacing w:before="0" w:after="0" w:line="240" w:lineRule="auto"/>
        <w:ind w:left="0" w:right="0" w:firstLine="560"/>
        <w:jc w:val="both"/>
      </w:pPr>
      <w:r>
        <w:rPr>
          <w:rFonts w:ascii="Times New Roman" w:hAnsi="Times New Roman" w:cs="Times New Roman" w:eastAsia="仿宋"/>
          <w:b w:val="0"/>
          <w:sz w:val="28"/>
        </w:rPr>
        <w:t>投资者反应强烈。消息公布后，Fold股价在纳斯达克一度飙升160%，从9天前触及的52周低点0.93美元反弹。这一涨势表明，市场将债务偿还和流动性提升视为比减少比特币持仓更清晰的近期催化剂。下一个考验是执行。Fold已减轻融资压力并增加了扩张资金，但市场现在将寻找证据，证明比特币信用卡及相关合作伙伴关系能够将资产负债表的重置转化为持久增长。</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原文标题：Fold Sells $45 Million in Bitcoin to Clear Collateralized Debt</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原文链接：https://financefeeds.com/fold-sells-45-million-in-bitcoin-to-clear-collateralized-debt/</w:t>
      </w:r>
    </w:p>
    <w:p/>
    <w:p>
      <w:pPr>
        <w:pStyle w:val="文章一级标题"/>
        <w:spacing w:before="0" w:after="0" w:line="240" w:lineRule="auto"/>
        <w:ind w:left="0" w:right="0" w:firstLine="0"/>
        <w:jc w:val="center"/>
      </w:pPr>
      <w:r>
        <w:rPr>
          <w:rFonts w:ascii="Times New Roman" w:hAnsi="Times New Roman" w:cs="Times New Roman" w:eastAsia="黑体"/>
          <w:b w:val="0"/>
          <w:sz w:val="30"/>
        </w:rPr>
        <w:t>CME集团推出纳斯达克CME加密指数期货覆盖BTC、ETH及SOL</w:t>
      </w:r>
    </w:p>
    <w:p>
      <w:pPr>
        <w:spacing w:before="0" w:after="0" w:line="240" w:lineRule="auto"/>
        <w:ind w:left="0" w:right="0" w:firstLine="0"/>
        <w:jc w:val="both"/>
      </w:pPr>
      <w:r>
        <w:rPr>
          <w:rFonts w:ascii="Times New Roman" w:hAnsi="Times New Roman" w:cs="Times New Roman" w:eastAsia="仿宋"/>
          <w:b w:val="0"/>
          <w:sz w:val="28"/>
        </w:rPr>
        <w:t>· CME集团于6月8日推出纳斯达克CME加密指数期货，该合约为市值加权，涵盖比特币（Bitcoin，BTC）、以太坊（Ethereum，ETH）、Solana（SOL）等8种加密货币，并以现金结算。</w:t>
      </w:r>
    </w:p>
    <w:p>
      <w:pPr>
        <w:spacing w:before="0" w:after="0" w:line="240" w:lineRule="auto"/>
        <w:ind w:left="0" w:right="0" w:firstLine="0"/>
        <w:jc w:val="both"/>
      </w:pPr>
      <w:r>
        <w:rPr>
          <w:rFonts w:ascii="Times New Roman" w:hAnsi="Times New Roman" w:cs="Times New Roman" w:eastAsia="仿宋"/>
          <w:b w:val="0"/>
          <w:sz w:val="28"/>
        </w:rPr>
        <w:t>· 该产品提供标准型和微型两种规格，旨在为机构及专业交易者提供单一期货合约的多元化加密资产敞口，同时保持受监管期货市场的透明度、中央清算和风险管理标准。</w:t>
      </w:r>
    </w:p>
    <w:p>
      <w:pPr>
        <w:spacing w:before="0" w:after="0" w:line="240" w:lineRule="auto"/>
        <w:ind w:left="0" w:right="0" w:firstLine="0"/>
        <w:jc w:val="both"/>
      </w:pPr>
      <w:r>
        <w:rPr>
          <w:rFonts w:ascii="Times New Roman" w:hAnsi="Times New Roman" w:cs="Times New Roman" w:eastAsia="仿宋"/>
          <w:b w:val="0"/>
          <w:sz w:val="28"/>
        </w:rPr>
        <w:t>· 该合约可用于对冲广泛的数字资产敞口、表达对大型加密货币表现的看法或管理投资组合风险，其市场影响在于提升产品效率，让投资者无需逐个交易单一资产期货。</w:t>
      </w:r>
    </w:p>
    <w:p>
      <w:pPr>
        <w:pStyle w:val="正文内容"/>
        <w:spacing w:before="0" w:after="0" w:line="240" w:lineRule="auto"/>
        <w:ind w:left="0" w:right="0" w:firstLine="560"/>
        <w:jc w:val="both"/>
      </w:pPr>
      <w:r>
        <w:rPr>
          <w:rFonts w:ascii="Times New Roman" w:hAnsi="Times New Roman" w:cs="Times New Roman" w:eastAsia="仿宋"/>
          <w:b w:val="0"/>
          <w:sz w:val="28"/>
        </w:rPr>
        <w:t>CME集团（CME Group）已推出纳斯达克CME加密指数期货（Nasdaq CME Crypto Index futures），扩大了其受监管的数字资产衍生品产品线。该合约为市值加权合约，覆盖多种规模最大且交易最活跃的加密货币。产品于6月8日开始交易，以现金交割至纳斯达克CME加密结算价格指数（Nasdaq CME Crypto Settlement Price Index），为机构及专业交易者提供与多样化加密资产篮子挂钩的单一期货合约。</w:t>
      </w:r>
    </w:p>
    <w:p>
      <w:pPr>
        <w:pStyle w:val="正文内容"/>
        <w:spacing w:before="0" w:after="0" w:line="240" w:lineRule="auto"/>
        <w:ind w:left="0" w:right="0" w:firstLine="560"/>
        <w:jc w:val="both"/>
      </w:pPr>
      <w:r>
        <w:rPr>
          <w:rFonts w:ascii="Times New Roman" w:hAnsi="Times New Roman" w:cs="Times New Roman" w:eastAsia="仿宋"/>
          <w:b w:val="0"/>
          <w:sz w:val="28"/>
        </w:rPr>
        <w:t>截至推出时，该指数包含比特币（Bitcoin，BTC）、比特币现金（Bitcoin Cash，BCH）、以太坊（Ethereum，ETH）、Solana（SOL）、瑞波币（XRP）、Cardano（ADA）、Chainlink（LINK）和Stellar（XLM）。原文指出，比特币、以太坊和Solana对许多机构投资者而言是最重要的成分，因为它们代表了流动性最强的大型加密网络，拥有成熟的现货市场、衍生品需求以及与受监管金融产品日益增长的整合。</w:t>
      </w:r>
    </w:p>
    <w:p>
      <w:pPr>
        <w:pStyle w:val="正文内容"/>
        <w:spacing w:before="0" w:after="0" w:line="240" w:lineRule="auto"/>
        <w:ind w:left="0" w:right="0" w:firstLine="560"/>
        <w:jc w:val="both"/>
      </w:pPr>
      <w:r>
        <w:rPr>
          <w:rFonts w:ascii="Times New Roman" w:hAnsi="Times New Roman" w:cs="Times New Roman" w:eastAsia="仿宋"/>
          <w:b w:val="0"/>
          <w:sz w:val="28"/>
        </w:rPr>
        <w:t>该合约提供标准型和微型两种版本，允许不同类型的交易者以更大灵活性管理敞口。CME表示，该产品旨在按市值提供对领先加密货币的资本高效敞口，同时保留受监管期货市场的透明度、中央清算和风险管理标准。</w:t>
      </w:r>
    </w:p>
    <w:p>
      <w:pPr>
        <w:pStyle w:val="正文内容"/>
        <w:spacing w:before="0" w:after="0" w:line="240" w:lineRule="auto"/>
        <w:ind w:left="0" w:right="0" w:firstLine="560"/>
        <w:jc w:val="both"/>
      </w:pPr>
      <w:r>
        <w:rPr>
          <w:rFonts w:ascii="Times New Roman" w:hAnsi="Times New Roman" w:cs="Times New Roman" w:eastAsia="仿宋"/>
          <w:b w:val="0"/>
          <w:sz w:val="28"/>
        </w:rPr>
        <w:t>主要市场影响在于产品效率。原文称，在此之前，寻求通过CME获得多元化加密敞口的投资者通常需要交易单独的期货合约或使用期货市场以外的现货产品。单一指数期货降低了操作复杂性，可能吸引资产管理公司、对冲基金、自营交易公司和经纪商，它们希望获得广泛的加密贝塔（beta）而无需管理单个代币头寸。</w:t>
      </w:r>
    </w:p>
    <w:p>
      <w:pPr>
        <w:pStyle w:val="正文内容"/>
        <w:spacing w:before="0" w:after="0" w:line="240" w:lineRule="auto"/>
        <w:ind w:left="0" w:right="0" w:firstLine="560"/>
        <w:jc w:val="both"/>
      </w:pPr>
      <w:r>
        <w:rPr>
          <w:rFonts w:ascii="Times New Roman" w:hAnsi="Times New Roman" w:cs="Times New Roman" w:eastAsia="仿宋"/>
          <w:b w:val="0"/>
          <w:sz w:val="28"/>
        </w:rPr>
        <w:t>市值加权使得该产品更接近传统股票指数期货，投资者可以交易一篮子资产而非单一资产。这种结构可能有助于加密衍生品变得更让机构熟悉，这些机构已经使用标普500指数（S&amp;P 500）、纳斯达克100指数（Nasdaq-100）或商品指数期货进行配置、对冲和战术性头寸调整。</w:t>
      </w:r>
    </w:p>
    <w:p>
      <w:pPr>
        <w:pStyle w:val="正文内容"/>
        <w:spacing w:before="0" w:after="0" w:line="240" w:lineRule="auto"/>
        <w:ind w:left="0" w:right="0" w:firstLine="560"/>
        <w:jc w:val="both"/>
      </w:pPr>
      <w:r>
        <w:rPr>
          <w:rFonts w:ascii="Times New Roman" w:hAnsi="Times New Roman" w:cs="Times New Roman" w:eastAsia="仿宋"/>
          <w:b w:val="0"/>
          <w:sz w:val="28"/>
        </w:rPr>
        <w:t>对于交易者而言，该合约支持多种用途：可用于对冲广泛的数字资产敞口、表达对大型加密货币表现的观点、管理投资组合风险，或与比特币、以太坊或Solana等单一资产期货进行相对价值交易。现金结算还避免了实物代币交割，减少了受监管参与者的托管和运营要求。</w:t>
      </w:r>
    </w:p>
    <w:p>
      <w:pPr>
        <w:pStyle w:val="正文内容"/>
        <w:spacing w:before="0" w:after="0" w:line="240" w:lineRule="auto"/>
        <w:ind w:left="0" w:right="0" w:firstLine="560"/>
        <w:jc w:val="both"/>
      </w:pPr>
      <w:r>
        <w:rPr>
          <w:rFonts w:ascii="Times New Roman" w:hAnsi="Times New Roman" w:cs="Times New Roman" w:eastAsia="仿宋"/>
          <w:b w:val="0"/>
          <w:sz w:val="28"/>
        </w:rPr>
        <w:t>此次推出标志着CME持续努力将自己定位为机构加密衍生产品的主要受监管场所。交易所于2017年引入比特币期货，随后增加了以太坊期货、微型合约、期权、Solana期货和加密波动率产品。新的指数产品将这一战略从单一资产敞口扩展到多资产市场准入。</w:t>
      </w:r>
    </w:p>
    <w:p>
      <w:pPr>
        <w:pStyle w:val="正文内容"/>
        <w:spacing w:before="0" w:after="0" w:line="240" w:lineRule="auto"/>
        <w:ind w:left="0" w:right="0" w:firstLine="560"/>
        <w:jc w:val="both"/>
      </w:pPr>
      <w:r>
        <w:rPr>
          <w:rFonts w:ascii="Times New Roman" w:hAnsi="Times New Roman" w:cs="Times New Roman" w:eastAsia="仿宋"/>
          <w:b w:val="0"/>
          <w:sz w:val="28"/>
        </w:rPr>
        <w:t>推出时机值得注意，因为加密衍生产品正变得日益竞争激烈。去中心化永续合约交易平台获得了市场份额，同时美国平台正在准备推出受监管的永续期货产品。CME的指数期货提供了不同的定位：更低的操作复杂性、中央清算、标准化合约以及机构熟悉的监管框架。</w:t>
      </w:r>
    </w:p>
    <w:p>
      <w:pPr>
        <w:pStyle w:val="正文内容"/>
        <w:spacing w:before="0" w:after="0" w:line="240" w:lineRule="auto"/>
        <w:ind w:left="0" w:right="0" w:firstLine="560"/>
        <w:jc w:val="both"/>
      </w:pPr>
      <w:r>
        <w:rPr>
          <w:rFonts w:ascii="Times New Roman" w:hAnsi="Times New Roman" w:cs="Times New Roman" w:eastAsia="仿宋"/>
          <w:b w:val="0"/>
          <w:sz w:val="28"/>
        </w:rPr>
        <w:t>从更广泛的市场来看，该产品可能改善大型加密资产的价格发现，为投资者提供另一个受监管工具来交易广泛的数字资产敞口。它还可能支持未来与多样化加密篮子挂钩的结构性产品、投资组合模型和风险管理工具。通过成熟的衍生品交易所推出现金结算的指数期货，CME正在现有美国市场基础设施内扩大加密接入，而非依赖离岸交易所、直接代币托管或高杠杆永续合约。</w:t>
      </w:r>
    </w:p>
    <w:p>
      <w:pPr>
        <w:pStyle w:val="正文内容"/>
        <w:spacing w:before="0" w:after="0" w:line="240" w:lineRule="auto"/>
        <w:ind w:left="0" w:right="0" w:firstLine="560"/>
        <w:jc w:val="both"/>
      </w:pPr>
      <w:r>
        <w:rPr>
          <w:rFonts w:ascii="Times New Roman" w:hAnsi="Times New Roman" w:cs="Times New Roman" w:eastAsia="仿宋"/>
          <w:b w:val="0"/>
          <w:sz w:val="28"/>
        </w:rPr>
        <w:t>关键考验在于流动性。原文指出，指数期货只有在订单簿深度足以实现高效执行和对冲时才变得有用。如果纳斯达克CME加密指数期货吸引做市商、基金和机构交易者的持续参与，它们可能成为受监管的多资产加密敞口的基准产品。</w:t>
      </w:r>
    </w:p>
    <w:p>
      <w:pPr>
        <w:pStyle w:val="信息来源"/>
        <w:spacing w:before="50" w:after="100" w:line="240" w:lineRule="auto"/>
        <w:ind w:left="0" w:right="0" w:firstLine="0"/>
        <w:jc w:val="right"/>
      </w:pPr>
      <w:r>
        <w:rPr>
          <w:rFonts w:ascii="Times New Roman" w:hAnsi="Times New Roman" w:cs="Times New Roman" w:eastAsia="仿宋"/>
          <w:b w:val="0"/>
          <w:sz w:val="21"/>
        </w:rPr>
        <w:t>（信息来源：FinanceFeeds）</w:t>
      </w:r>
    </w:p>
    <w:p>
      <w:pPr>
        <w:pStyle w:val="原文信息"/>
        <w:spacing w:before="0" w:after="0" w:line="240" w:lineRule="auto"/>
        <w:ind w:left="0" w:right="0" w:firstLine="0"/>
        <w:jc w:val="left"/>
      </w:pPr>
      <w:r>
        <w:rPr>
          <w:rFonts w:ascii="Times New Roman" w:hAnsi="Times New Roman" w:cs="Times New Roman" w:eastAsia="仿宋"/>
          <w:b w:val="0"/>
          <w:sz w:val="18"/>
        </w:rPr>
        <w:t>原文标题：CME Group Launches Nasdaq CME Crypto Index Futures Covering BTC， ETH and SOL</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原文链接：https://financefeeds.com/cme-group-launches-nasdaq-cme-crypto-index-futures-covering-btc-eth-and-sol/</w:t>
      </w:r>
    </w:p>
    <w:p>
      <w:pPr>
        <w:sectPr>
          <w:pgSz w:w="12240" w:h="15840"/>
          <w:pgMar w:top="1440" w:right="1803" w:bottom="1440" w:left="1803" w:header="850" w:footer="992" w:gutter="0"/>
          <w:cols w:space="720"/>
          <w:docGrid w:type="lines" w:linePitch="312"/>
        </w:sectPr>
      </w:pPr>
    </w:p>
    <w:p>
      <w:pPr>
        <w:pStyle w:val="Heading1"/>
      </w:pPr>
      <w:r>
        <w:rPr>
          <w:rFonts w:ascii="Times New Roman" w:hAnsi="Times New Roman" w:cs="Times New Roman" w:eastAsia="黑体"/>
          <w:b w:val="0"/>
          <w:color w:val="2F5496"/>
          <w:sz w:val="30"/>
        </w:rPr>
        <w:t>【意见领袖】</w:t>
      </w:r>
    </w:p>
    <w:p>
      <w:pPr>
        <w:pStyle w:val="文章一级标题"/>
        <w:spacing w:before="0" w:after="0" w:line="240" w:lineRule="auto"/>
        <w:ind w:left="0" w:right="0" w:firstLine="0"/>
        <w:jc w:val="center"/>
      </w:pPr>
      <w:r>
        <w:rPr>
          <w:rFonts w:ascii="Times New Roman" w:hAnsi="Times New Roman" w:cs="Times New Roman" w:eastAsia="黑体"/>
          <w:b w:val="0"/>
          <w:sz w:val="30"/>
        </w:rPr>
        <w:t>NetomiCEO称5万亿美元AI客户体验市场将推动稳定币需求</w:t>
      </w:r>
    </w:p>
    <w:p>
      <w:pPr>
        <w:spacing w:before="0" w:after="0" w:line="240" w:lineRule="auto"/>
        <w:ind w:left="0" w:right="0" w:firstLine="0"/>
        <w:jc w:val="both"/>
      </w:pPr>
      <w:r>
        <w:rPr>
          <w:rFonts w:ascii="Times New Roman" w:hAnsi="Times New Roman" w:cs="Times New Roman" w:eastAsia="仿宋"/>
          <w:b w:val="0"/>
          <w:sz w:val="28"/>
        </w:rPr>
        <w:t>· Netomi创始人兼CEO Puneet Mehta预测，客户体验市场将从目前的约5000亿美元增长至2030年的5万亿美元，AI向销售、转化、追加销售领域扩展将驱动这一增长。</w:t>
      </w:r>
    </w:p>
    <w:p>
      <w:pPr>
        <w:spacing w:before="0" w:after="0" w:line="240" w:lineRule="auto"/>
        <w:ind w:left="0" w:right="0" w:firstLine="0"/>
        <w:jc w:val="both"/>
      </w:pPr>
      <w:r>
        <w:rPr>
          <w:rFonts w:ascii="Times New Roman" w:hAnsi="Times New Roman" w:cs="Times New Roman" w:eastAsia="仿宋"/>
          <w:b w:val="0"/>
          <w:sz w:val="28"/>
        </w:rPr>
        <w:t>· Mehta认为AI与加密是互补趋势，自主AI代理需要基于区块链的24/7支付轨道和稳定币，而非传统银行系统。</w:t>
      </w:r>
    </w:p>
    <w:p>
      <w:pPr>
        <w:spacing w:before="0" w:after="0" w:line="240" w:lineRule="auto"/>
        <w:ind w:left="0" w:right="0" w:firstLine="0"/>
        <w:jc w:val="both"/>
      </w:pPr>
      <w:r>
        <w:rPr>
          <w:rFonts w:ascii="Times New Roman" w:hAnsi="Times New Roman" w:cs="Times New Roman" w:eastAsia="仿宋"/>
          <w:b w:val="0"/>
          <w:sz w:val="28"/>
        </w:rPr>
        <w:t>· Netomi近期完成由Accenture Ventures和Adobe Ventures支持的1.1亿美元C轮融资，总融资达1.68亿美元，公司接近独角兽地位。</w:t>
      </w:r>
    </w:p>
    <w:p>
      <w:pPr>
        <w:pStyle w:val="正文内容"/>
        <w:spacing w:before="0" w:after="0" w:line="240" w:lineRule="auto"/>
        <w:ind w:left="0" w:right="0" w:firstLine="560"/>
        <w:jc w:val="both"/>
      </w:pPr>
      <w:r>
        <w:rPr>
          <w:rFonts w:ascii="Times New Roman" w:hAnsi="Times New Roman" w:cs="Times New Roman" w:eastAsia="仿宋"/>
          <w:b w:val="0"/>
          <w:sz w:val="28"/>
        </w:rPr>
        <w:t>Netomi创始人兼CEO Puneet Mehta表示，企业客户体验相关知识工作目前年支出约为5000亿美元。随着AI从客户支持扩展到销售、转化、追加销售和交叉销售，他预计到2030年市场机会将增长十倍，达到5万亿美元。Mehta此前曾在IBM担任工程师和数据科学家，后在摩根大通、花旗和美林担任类似职务。</w:t>
      </w:r>
    </w:p>
    <w:p>
      <w:pPr>
        <w:pStyle w:val="正文内容"/>
        <w:spacing w:before="0" w:after="0" w:line="240" w:lineRule="auto"/>
        <w:ind w:left="0" w:right="0" w:firstLine="560"/>
        <w:jc w:val="both"/>
      </w:pPr>
      <w:r>
        <w:rPr>
          <w:rFonts w:ascii="Times New Roman" w:hAnsi="Times New Roman" w:cs="Times New Roman" w:eastAsia="仿宋"/>
          <w:b w:val="0"/>
          <w:sz w:val="28"/>
        </w:rPr>
        <w:t>Mehta认为AI和加密应被视为互补趋势而非竞争领域。“AI单纯从加密领域吸走资本的观点，是对技术发展方向的根本误解，”他表示，“我们并非在风投资金上进行零和博弈。”Netomi近期完成了由Accenture Ventures和Adobe Ventures支持的1.1亿美元C轮融资，使总融资达到1.68亿美元。Mehta未披露公司估值，但表示接近独角兽地位。</w:t>
      </w:r>
    </w:p>
    <w:p>
      <w:pPr>
        <w:pStyle w:val="正文内容"/>
        <w:spacing w:before="0" w:after="0" w:line="240" w:lineRule="auto"/>
        <w:ind w:left="0" w:right="0" w:firstLine="560"/>
        <w:jc w:val="both"/>
      </w:pPr>
      <w:r>
        <w:rPr>
          <w:rFonts w:ascii="Times New Roman" w:hAnsi="Times New Roman" w:cs="Times New Roman" w:eastAsia="仿宋"/>
          <w:b w:val="0"/>
          <w:sz w:val="28"/>
        </w:rPr>
        <w:t>Mehta指出，下一代企业软件将依赖能够处理日益复杂业务功能（包括金融交易）的自主AI代理。“AI代理正在以比传统企业更快的速度转移资金和资产，”他说，“自主代理不能依赖需要数天通过纸质文件结算交易的传统银行系统。”他认为，实现端到端自动化需要两个关键组成部分：具备决策能力的AI系统以及能够即时移动资金的区块链支付基础设施。</w:t>
      </w:r>
    </w:p>
    <w:p>
      <w:pPr>
        <w:pStyle w:val="正文内容"/>
        <w:spacing w:before="0" w:after="0" w:line="240" w:lineRule="auto"/>
        <w:ind w:left="0" w:right="0" w:firstLine="560"/>
        <w:jc w:val="both"/>
      </w:pPr>
      <w:r>
        <w:rPr>
          <w:rFonts w:ascii="Times New Roman" w:hAnsi="Times New Roman" w:cs="Times New Roman" w:eastAsia="仿宋"/>
          <w:b w:val="0"/>
          <w:sz w:val="28"/>
        </w:rPr>
        <w:t>“要实现真正的端到端自动化，这些软件系统需要24/7全天候运行的资本轨道，”Mehta说。这一需求可能推动对稳定币和区块链结算网络的更大需求，因为这些网络可以全天候运行。稳定币发行商和加密支付公司越来越多地将产品定位为实时结算和跨境交易的工具。Mehta的观点与加密高管的共识一致——自主软件可能成为稳定币采用的主要驱动力。Bridge和Deus X Capital高管近期在Consensus 2026会议上表示，大型企业正将稳定币用于跨境资金流动，AI代理也开始使用区块链轨道进行自主支付。Chainalysis在4月表示，稳定币有望成为全球金融的基础层，到2035年调整后交易量预计将达到719万亿美元。</w:t>
      </w:r>
    </w:p>
    <w:p>
      <w:pPr>
        <w:pStyle w:val="正文内容"/>
        <w:spacing w:before="0" w:after="0" w:line="240" w:lineRule="auto"/>
        <w:ind w:left="0" w:right="0" w:firstLine="560"/>
        <w:jc w:val="both"/>
      </w:pPr>
      <w:r>
        <w:rPr>
          <w:rFonts w:ascii="Times New Roman" w:hAnsi="Times New Roman" w:cs="Times New Roman" w:eastAsia="仿宋"/>
          <w:b w:val="0"/>
          <w:sz w:val="28"/>
        </w:rPr>
        <w:t>Mehta的公司Netomi正在构建统一的AI平台，而非一系列脱节工具。其客户包括达美航空、联合航空、MetLife、ESPN和ATB Financial等全球巨头。“大多数企业在构建点状解决方案，一次解决一个问题，”Mehta说，“我们认为未来是互联企业，AI系统不会在孤岛中运行，而是跨整个组织协同工作。”Netomi的客户体验AI平台旨在整合客户服务、法律运营和销售支持等功能，并实现系统间信息共享。</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（信息来源：coindesk）</w:t>
      </w:r>
    </w:p>
    <w:p>
      <w:pPr>
        <w:pStyle w:val="原文信息"/>
        <w:spacing w:before="0" w:after="0" w:line="240" w:lineRule="auto"/>
        <w:ind w:left="0" w:right="0" w:firstLine="0"/>
        <w:jc w:val="left"/>
      </w:pPr>
      <w:r>
        <w:rPr>
          <w:rFonts w:ascii="Times New Roman" w:hAnsi="Times New Roman" w:cs="Times New Roman" w:eastAsia="仿宋"/>
          <w:b w:val="0"/>
          <w:sz w:val="18"/>
        </w:rPr>
        <w:t>原文标题：Netomi CEO says $5 trillion AI customer experience market could boost stablecoin demand</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原文链接：https://www.coindesk.com/business/2026/06/10/netomi-ceo-says-usd5-trillion-ai-customer-experience-market-could-boost-stablecoin-demand</w:t>
      </w:r>
    </w:p>
    <w:p/>
    <w:p>
      <w:pPr>
        <w:pStyle w:val="文章一级标题"/>
        <w:spacing w:before="0" w:after="0" w:line="240" w:lineRule="auto"/>
        <w:ind w:left="0" w:right="0" w:firstLine="0"/>
        <w:jc w:val="center"/>
      </w:pPr>
      <w:r>
        <w:rPr>
          <w:rFonts w:ascii="Times New Roman" w:hAnsi="Times New Roman" w:cs="Times New Roman" w:eastAsia="黑体"/>
          <w:b w:val="0"/>
          <w:sz w:val="30"/>
        </w:rPr>
        <w:t>CoinShares研究主管称加密资金外流是情绪冲击而非结构性危机</w:t>
      </w:r>
    </w:p>
    <w:p>
      <w:pPr>
        <w:spacing w:before="0" w:after="0" w:line="240" w:lineRule="auto"/>
        <w:ind w:left="0" w:right="0" w:firstLine="0"/>
        <w:jc w:val="both"/>
      </w:pPr>
      <w:r>
        <w:rPr>
          <w:rFonts w:ascii="Times New Roman" w:hAnsi="Times New Roman" w:cs="Times New Roman" w:eastAsia="仿宋"/>
          <w:b w:val="0"/>
          <w:sz w:val="28"/>
        </w:rPr>
        <w:t>· CoinShares研究主管James Butterfill表示，近期加密货币市场资金外流反映的是宏观驱动下的情绪冲击，而非结构性危机。</w:t>
      </w:r>
    </w:p>
    <w:p>
      <w:pPr>
        <w:spacing w:before="0" w:after="0" w:line="240" w:lineRule="auto"/>
        <w:ind w:left="0" w:right="0" w:firstLine="0"/>
        <w:jc w:val="both"/>
      </w:pPr>
      <w:r>
        <w:rPr>
          <w:rFonts w:ascii="Times New Roman" w:hAnsi="Times New Roman" w:cs="Times New Roman" w:eastAsia="仿宋"/>
          <w:b w:val="0"/>
          <w:sz w:val="28"/>
        </w:rPr>
        <w:t>· 美国现货比特币ETF上周净流出约17.2亿美元，市场对地缘政治、利率预期及资金转向人工智能领域感到担忧。</w:t>
      </w:r>
    </w:p>
    <w:p>
      <w:pPr>
        <w:spacing w:before="0" w:after="0" w:line="240" w:lineRule="auto"/>
        <w:ind w:left="0" w:right="0" w:firstLine="0"/>
        <w:jc w:val="both"/>
      </w:pPr>
      <w:r>
        <w:rPr>
          <w:rFonts w:ascii="Times New Roman" w:hAnsi="Times New Roman" w:cs="Times New Roman" w:eastAsia="仿宋"/>
          <w:b w:val="0"/>
          <w:sz w:val="28"/>
        </w:rPr>
        <w:t>· 其他分析师警告比特币反弹可能仍然脆弱，流动性公司Wincent高级董事Paul Howard和Tesseract Group资产管理主管Adam Haeems均持谨慎态度。</w:t>
      </w:r>
    </w:p>
    <w:p>
      <w:pPr>
        <w:pStyle w:val="正文内容"/>
        <w:spacing w:before="0" w:after="0" w:line="240" w:lineRule="auto"/>
        <w:ind w:left="0" w:right="0" w:firstLine="560"/>
        <w:jc w:val="both"/>
      </w:pPr>
      <w:r>
        <w:rPr>
          <w:rFonts w:ascii="Times New Roman" w:hAnsi="Times New Roman" w:cs="Times New Roman" w:eastAsia="仿宋"/>
          <w:b w:val="0"/>
          <w:sz w:val="28"/>
        </w:rPr>
        <w:t>加密货币市场的资金外流反映的是情绪冲击，而非结构性危机，CoinShares研究主管James Butterfill表示。他在发送给Cointelegraph的一份声明中指出，在数十亿美元资金从数字资产投资产品流出后，加密市场的情绪“急剧恶化”。Butterfill强调，“这是纯粹的情绪冲击，而非结构性断裂。”</w:t>
      </w:r>
    </w:p>
    <w:p>
      <w:pPr>
        <w:pStyle w:val="正文内容"/>
        <w:spacing w:before="0" w:after="0" w:line="240" w:lineRule="auto"/>
        <w:ind w:left="0" w:right="0" w:firstLine="560"/>
        <w:jc w:val="both"/>
      </w:pPr>
      <w:r>
        <w:rPr>
          <w:rFonts w:ascii="Times New Roman" w:hAnsi="Times New Roman" w:cs="Times New Roman" w:eastAsia="仿宋"/>
          <w:b w:val="0"/>
          <w:sz w:val="28"/>
        </w:rPr>
        <w:t>Butterfill补充说，此次回调主要受地缘政治因素驱动，伊朗冲突带来的不确定性影响了利率前景。他称预期的降息已被搁置，而市场开始计入加息的可能性。这些评论的背景是，美国现货比特币交易所交易基金（ETF）上周出现大幅逆转，净流出约17.2亿美元。</w:t>
      </w:r>
    </w:p>
    <w:p>
      <w:pPr>
        <w:pStyle w:val="正文内容"/>
        <w:spacing w:before="0" w:after="0" w:line="240" w:lineRule="auto"/>
        <w:ind w:left="0" w:right="0" w:firstLine="560"/>
        <w:jc w:val="both"/>
      </w:pPr>
      <w:r>
        <w:rPr>
          <w:rFonts w:ascii="Times New Roman" w:hAnsi="Times New Roman" w:cs="Times New Roman" w:eastAsia="仿宋"/>
          <w:b w:val="0"/>
          <w:sz w:val="28"/>
        </w:rPr>
        <w:t>其他分析师则认为，比特币近期的反弹可能不足以确认复苏。流动性公司Wincent高级董事Paul Howard在给Cointelegraph的声明中表示，上周的资金外流反映了机构对宏观头条的反应，而科技股重仓市场的压力显示出风险资产面临的更广泛压力。Howard指出，比特币跌破关键移动平均线可能表明市场已进入更谨慎的阶段，同时芝加哥商品交易所（CME）比特币波动率升高表明持续受到新闻驱动的波动。他对反弹能否持续仍持谨慎态度。</w:t>
      </w:r>
    </w:p>
    <w:p>
      <w:pPr>
        <w:pStyle w:val="正文内容"/>
        <w:spacing w:before="0" w:after="0" w:line="240" w:lineRule="auto"/>
        <w:ind w:left="0" w:right="0" w:firstLine="560"/>
        <w:jc w:val="both"/>
      </w:pPr>
      <w:r>
        <w:rPr>
          <w:rFonts w:ascii="Times New Roman" w:hAnsi="Times New Roman" w:cs="Times New Roman" w:eastAsia="仿宋"/>
          <w:b w:val="0"/>
          <w:sz w:val="28"/>
        </w:rPr>
        <w:t>加密货币投资公司Tesseract Group资产管理主管Adam Haeems表示，市场叙事很大程度上聚焦于Strategy在5月底出售的32枚比特币。然而他认为，这笔约250万美元的出售规模太小，无法机械地解释比特币更广泛的下跌。“它动摇了信心，因为Strategy一直被视为近乎单向的企业需求来源，但这是一个信号冲击，而非下跌背后的资金流动，”Haeems说道。</w:t>
      </w:r>
    </w:p>
    <w:p>
      <w:pPr>
        <w:pStyle w:val="信息来源"/>
        <w:spacing w:before="50" w:after="100" w:line="240" w:lineRule="auto"/>
        <w:ind w:left="0" w:right="0" w:firstLine="0"/>
        <w:jc w:val="right"/>
      </w:pPr>
      <w:r>
        <w:rPr>
          <w:rFonts w:ascii="Times New Roman" w:hAnsi="Times New Roman" w:cs="Times New Roman" w:eastAsia="仿宋"/>
          <w:b w:val="0"/>
          <w:sz w:val="21"/>
        </w:rPr>
        <w:t>（信息来源：Cointelegraph）</w:t>
      </w:r>
    </w:p>
    <w:p>
      <w:pPr>
        <w:pStyle w:val="原文信息"/>
        <w:spacing w:before="0" w:after="0" w:line="240" w:lineRule="auto"/>
        <w:ind w:left="0" w:right="0" w:firstLine="0"/>
        <w:jc w:val="left"/>
      </w:pPr>
      <w:r>
        <w:rPr>
          <w:rFonts w:ascii="Times New Roman" w:hAnsi="Times New Roman" w:cs="Times New Roman" w:eastAsia="仿宋"/>
          <w:b w:val="0"/>
          <w:sz w:val="18"/>
        </w:rPr>
        <w:t>原文标题：Crypto outflows are sentiment shock， not structural crisis： CoinShares‘ Butterfill</w:t>
      </w:r>
    </w:p>
    <w:p>
      <w:pPr>
        <w:pStyle w:val="原文信息"/>
        <w:spacing w:before="0" w:after="0" w:line="240" w:lineRule="auto"/>
        <w:ind w:left="0" w:right="0" w:firstLine="0"/>
        <w:jc w:val="left"/>
      </w:pPr>
      <w:r>
        <w:rPr>
          <w:rFonts w:ascii="Times New Roman" w:hAnsi="Times New Roman" w:cs="Times New Roman" w:eastAsia="仿宋"/>
          <w:b w:val="0"/>
          <w:sz w:val="18"/>
        </w:rPr>
        <w:t>原文链接：https://cointelegraph.com/news/crypto-outflows-sentiment-shock-structural-crisis-coinshares</w:t>
      </w:r>
    </w:p>
    <w:sectPr w:rsidR="00FC693F" w:rsidRPr="0006063C" w:rsidSect="00034616">
      <w:pgSz w:w="12240" w:h="15840"/>
      <w:pgMar w:top="1440" w:right="1803" w:bottom="1440" w:left="1803" w:header="850"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40" w:lineRule="auto"/>
      <w:ind w:left="0" w:right="0" w:firstLine="0"/>
    </w:pPr>
    <w:rPr>
      <w:rFonts w:ascii="Times New Roman" w:hAnsi="Times New Roman" w:cs="Times New Roman" w:eastAsia="仿宋"/>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240" w:line="240" w:lineRule="auto"/>
      <w:ind w:left="0" w:right="0" w:firstLine="0"/>
      <w:outlineLvl w:val="0"/>
    </w:pPr>
    <w:rPr>
      <w:rFonts w:asciiTheme="majorHAnsi" w:eastAsiaTheme="majorEastAsia" w:hAnsiTheme="majorHAnsi" w:cstheme="majorBidi" w:ascii="Times New Roman" w:hAnsi="Times New Roman" w:cs="Times New Roman" w:eastAsia="黑体"/>
      <w:b/>
      <w:bCs/>
      <w:color w:val="2F549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文章一级标题">
    <w:name w:val="文章一级标题"/>
    <w:pPr>
      <w:spacing w:before="0" w:after="0" w:line="240" w:lineRule="auto"/>
      <w:ind w:left="0" w:right="0" w:firstLine="0"/>
      <w:jc w:val="center"/>
    </w:pPr>
    <w:rPr>
      <w:rFonts w:ascii="Times New Roman" w:hAnsi="Times New Roman" w:cs="Times New Roman" w:eastAsia="黑体"/>
      <w:sz w:val="30"/>
    </w:rPr>
  </w:style>
  <w:style w:type="paragraph" w:customStyle="1" w:styleId="正文内容">
    <w:name w:val="正文内容"/>
    <w:basedOn w:val="Normal"/>
    <w:pPr>
      <w:spacing w:before="0" w:after="0" w:line="240" w:lineRule="auto"/>
      <w:ind w:left="0" w:right="0" w:firstLine="560"/>
      <w:jc w:val="both"/>
    </w:pPr>
    <w:rPr>
      <w:rFonts w:ascii="Times New Roman" w:hAnsi="Times New Roman" w:cs="Times New Roman" w:eastAsia="仿宋"/>
      <w:sz w:val="28"/>
    </w:rPr>
  </w:style>
  <w:style w:type="paragraph" w:customStyle="1" w:styleId="信息来源">
    <w:name w:val="信息来源"/>
    <w:basedOn w:val="Normal"/>
    <w:pPr>
      <w:spacing w:before="50" w:after="100" w:line="240" w:lineRule="auto"/>
      <w:ind w:left="0" w:right="0" w:firstLine="0"/>
      <w:jc w:val="right"/>
    </w:pPr>
    <w:rPr>
      <w:rFonts w:ascii="Times New Roman" w:hAnsi="Times New Roman" w:cs="Times New Roman" w:eastAsia="仿宋"/>
      <w:sz w:val="21"/>
    </w:rPr>
  </w:style>
  <w:style w:type="paragraph" w:customStyle="1" w:styleId="原文信息">
    <w:name w:val="原文信息"/>
    <w:basedOn w:val="Normal"/>
    <w:pPr>
      <w:spacing w:before="0" w:after="0" w:line="240" w:lineRule="auto"/>
      <w:ind w:left="0" w:right="0" w:firstLine="0"/>
      <w:jc w:val="left"/>
    </w:pPr>
    <w:rPr>
      <w:rFonts w:ascii="Times New Roman" w:hAnsi="Times New Roman" w:cs="Times New Roman" w:eastAsia="仿宋"/>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加密货币观察周刊</dc:title>
  <dc:subject>2026-06-04 11:20 至 2026-06-11 11:20（北京时间，最近7天）</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