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【政策风向】</w:t>
      </w:r>
    </w:p>
    <w:p>
      <w:pPr>
        <w:pStyle w:val="ListParagraph"/>
        <w:spacing w:before="0" w:after="0" w:line="360" w:lineRule="auto"/>
        <w:ind w:left="0" w:firstLine="0"/>
      </w:pPr>
      <w:r>
        <w:rPr>
          <w:rFonts w:ascii="Times New Roman" w:hAnsi="Times New Roman" w:cs="Times New Roman" w:eastAsia="楷体"/>
          <w:b w:val="0"/>
          <w:sz w:val="28"/>
        </w:rPr>
        <w:t>· ClarityAct因特朗普伦理问题搁置沃伦致信SEC要求调查其迷因币</w:t>
      </w:r>
    </w:p>
    <w:p>
      <w:pPr>
        <w:pStyle w:val="ListParagraph"/>
        <w:spacing w:before="0" w:after="0" w:line="360" w:lineRule="auto"/>
        <w:ind w:left="0" w:firstLine="0"/>
      </w:pPr>
      <w:r>
        <w:rPr>
          <w:rFonts w:ascii="Times New Roman" w:hAnsi="Times New Roman" w:cs="Times New Roman" w:eastAsia="楷体"/>
          <w:b w:val="0"/>
          <w:sz w:val="28"/>
        </w:rPr>
        <w:t>· 尼日利亚为数字资产平台制定加密税收征管规则</w:t>
      </w:r>
    </w:p>
    <w:p>
      <w:pPr>
        <w:pStyle w:val="ListParagraph"/>
        <w:spacing w:before="0" w:after="0" w:line="360" w:lineRule="auto"/>
        <w:ind w:left="0" w:firstLine="0"/>
      </w:pPr>
      <w:r>
        <w:rPr>
          <w:rFonts w:ascii="Times New Roman" w:hAnsi="Times New Roman" w:cs="Times New Roman" w:eastAsia="楷体"/>
          <w:b w:val="0"/>
          <w:sz w:val="28"/>
        </w:rPr>
        <w:t>· 南非立法者提议跨境加密货币交易规则草案</w:t>
      </w:r>
    </w:p>
    <w:p>
      <w:pPr>
        <w:spacing w:before="0" w:after="0"/>
        <w:ind w:firstLine="0"/>
      </w:pPr>
      <w:r>
        <w:rPr>
          <w:rFonts w:ascii="Times New Roman" w:hAnsi="Times New Roman" w:cs="Times New Roman" w:eastAsia="黑体"/>
          <w:b w:val="0"/>
          <w:color w:val="2F5496"/>
          <w:sz w:val="32"/>
        </w:rPr>
        <w:t>【行业前沿】</w:t>
      </w:r>
    </w:p>
    <w:p>
      <w:pPr>
        <w:pStyle w:val="ListParagraph"/>
        <w:spacing w:before="0" w:after="0" w:line="360" w:lineRule="auto"/>
        <w:ind w:left="0" w:firstLine="0"/>
      </w:pPr>
      <w:r>
        <w:rPr>
          <w:rFonts w:ascii="Times New Roman" w:hAnsi="Times New Roman" w:cs="Times New Roman" w:eastAsia="楷体"/>
          <w:b w:val="0"/>
          <w:sz w:val="28"/>
        </w:rPr>
        <w:t>· 贝莱德携手摩根大通Kinexys将3110亿美元欧洲货币市场基金代币化</w:t>
      </w:r>
    </w:p>
    <w:p>
      <w:pPr>
        <w:pStyle w:val="ListParagraph"/>
        <w:spacing w:before="0" w:after="0" w:line="360" w:lineRule="auto"/>
        <w:ind w:left="0" w:firstLine="0"/>
      </w:pPr>
      <w:r>
        <w:rPr>
          <w:rFonts w:ascii="Times New Roman" w:hAnsi="Times New Roman" w:cs="Times New Roman" w:eastAsia="楷体"/>
          <w:b w:val="0"/>
          <w:sz w:val="28"/>
        </w:rPr>
        <w:t>· BitGo将WBTC迁移至Chainlink跨链迁移总额逼近150亿美元</w:t>
      </w:r>
    </w:p>
    <w:p>
      <w:pPr>
        <w:spacing w:before="0" w:after="0"/>
        <w:ind w:firstLine="0"/>
      </w:pPr>
      <w:r>
        <w:rPr>
          <w:rFonts w:ascii="Times New Roman" w:hAnsi="Times New Roman" w:cs="Times New Roman" w:eastAsia="黑体"/>
          <w:b w:val="0"/>
          <w:color w:val="2F5496"/>
          <w:sz w:val="32"/>
        </w:rPr>
        <w:t>【市场动态】</w:t>
      </w:r>
    </w:p>
    <w:p>
      <w:pPr>
        <w:pStyle w:val="ListParagraph"/>
        <w:spacing w:before="0" w:after="0" w:line="360" w:lineRule="auto"/>
        <w:ind w:left="0" w:firstLine="0"/>
      </w:pPr>
      <w:r>
        <w:rPr>
          <w:rFonts w:ascii="Times New Roman" w:hAnsi="Times New Roman" w:cs="Times New Roman" w:eastAsia="楷体"/>
          <w:b w:val="0"/>
          <w:sz w:val="28"/>
        </w:rPr>
        <w:t>· 分析师称三星有望成为稳定币主导分销商</w:t>
      </w:r>
    </w:p>
    <w:p>
      <w:pPr>
        <w:pStyle w:val="ListParagraph"/>
        <w:spacing w:before="0" w:after="0" w:line="360" w:lineRule="auto"/>
        <w:ind w:left="0" w:firstLine="0"/>
      </w:pPr>
      <w:r>
        <w:rPr>
          <w:rFonts w:ascii="Times New Roman" w:hAnsi="Times New Roman" w:cs="Times New Roman" w:eastAsia="楷体"/>
          <w:b w:val="0"/>
          <w:sz w:val="28"/>
        </w:rPr>
        <w:t>· 意大利联合圣保罗银行二季度减持IBIT94%以太坊ETF持仓增至三倍</w:t>
      </w:r>
    </w:p>
    <w:p>
      <w:pPr>
        <w:spacing w:before="0" w:after="0"/>
        <w:ind w:firstLine="0"/>
      </w:pPr>
      <w:r>
        <w:rPr>
          <w:rFonts w:ascii="Times New Roman" w:hAnsi="Times New Roman" w:cs="Times New Roman" w:eastAsia="黑体"/>
          <w:b w:val="0"/>
          <w:color w:val="2F5496"/>
          <w:sz w:val="32"/>
        </w:rPr>
        <w:t>【意见领袖】</w:t>
      </w:r>
    </w:p>
    <w:p>
      <w:pPr>
        <w:pStyle w:val="ListParagraph"/>
        <w:spacing w:before="0" w:after="0" w:line="360" w:lineRule="auto"/>
        <w:ind w:left="0" w:firstLine="0"/>
      </w:pPr>
      <w:r>
        <w:rPr>
          <w:rFonts w:ascii="Times New Roman" w:hAnsi="Times New Roman" w:cs="Times New Roman" w:eastAsia="楷体"/>
          <w:b w:val="0"/>
          <w:sz w:val="28"/>
        </w:rPr>
        <w:t>· Ledger称Coldcard漏洞事件显示比特币钱包安全必须适应AI</w:t>
      </w:r>
    </w:p>
    <w:p>
      <w:pPr>
        <w:pStyle w:val="ListParagraph"/>
        <w:spacing w:before="0" w:after="0" w:line="360" w:lineRule="auto"/>
        <w:ind w:left="0" w:firstLine="0"/>
      </w:pPr>
      <w:r>
        <w:rPr>
          <w:rFonts w:ascii="Times New Roman" w:hAnsi="Times New Roman" w:cs="Times New Roman" w:eastAsia="楷体"/>
          <w:b w:val="0"/>
          <w:sz w:val="28"/>
        </w:rPr>
        <w:t>· Bernstein德州电网暂停审批对比特币矿工影响不大</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spacing w:before="0" w:after="0" w:line="240" w:lineRule="auto"/>
        <w:ind w:left="0" w:right="0" w:firstLine="0"/>
        <w:jc w:val="center"/>
      </w:pPr>
      <w:r>
        <w:rPr>
          <w:rFonts w:ascii="Times New Roman" w:hAnsi="Times New Roman" w:cs="Times New Roman" w:eastAsia="黑体"/>
          <w:b w:val="0"/>
          <w:sz w:val="30"/>
        </w:rPr>
        <w:t>ClarityAct因特朗普伦理问题搁置沃伦致信SEC要求调查其迷因币</w:t>
      </w:r>
    </w:p>
    <w:p>
      <w:pPr>
        <w:spacing w:before="0" w:after="0" w:line="240" w:lineRule="auto"/>
        <w:ind w:left="0" w:right="0" w:firstLine="0"/>
        <w:jc w:val="both"/>
      </w:pPr>
      <w:r>
        <w:rPr>
          <w:rFonts w:ascii="Times New Roman" w:hAnsi="Times New Roman" w:cs="Times New Roman" w:eastAsia="仿宋"/>
          <w:b w:val="0"/>
          <w:sz w:val="28"/>
        </w:rPr>
        <w:t>· 美国民主党参议员伊丽莎白·沃伦与理查德·布卢门撒尔致函SEC，要求调查特朗普的$TRUMP迷因币，涉及近100万投资者约38亿美元损失，而特朗普从中赚取6.36亿美元。</w:t>
      </w:r>
    </w:p>
    <w:p>
      <w:pPr>
        <w:spacing w:before="0" w:after="0" w:line="240" w:lineRule="auto"/>
        <w:ind w:left="0" w:right="0" w:firstLine="0"/>
        <w:jc w:val="both"/>
      </w:pPr>
      <w:r>
        <w:rPr>
          <w:rFonts w:ascii="Times New Roman" w:hAnsi="Times New Roman" w:cs="Times New Roman" w:eastAsia="仿宋"/>
          <w:b w:val="0"/>
          <w:sz w:val="28"/>
        </w:rPr>
        <w:t>· SEC此前已认定迷因币通常不属于其监管范围，但参议员们认为该机构有责任调查与总统相关的潜在欺诈性敛财计划。</w:t>
      </w:r>
    </w:p>
    <w:p>
      <w:pPr>
        <w:spacing w:before="0" w:after="0" w:line="240" w:lineRule="auto"/>
        <w:ind w:left="0" w:right="0" w:firstLine="0"/>
        <w:jc w:val="both"/>
      </w:pPr>
      <w:r>
        <w:rPr>
          <w:rFonts w:ascii="Times New Roman" w:hAnsi="Times New Roman" w:cs="Times New Roman" w:eastAsia="仿宋"/>
          <w:b w:val="0"/>
          <w:sz w:val="28"/>
        </w:rPr>
        <w:t>· 这封信正值《数字资产市场清晰法案》就政府官员加密资产伦理条款展开谈判，白宫尚未对强化版修订作出回应，参议院投票计划面临失败风险。</w:t>
      </w:r>
    </w:p>
    <w:p>
      <w:pPr>
        <w:pStyle w:val="正文内容"/>
        <w:spacing w:before="0" w:after="0" w:line="240" w:lineRule="auto"/>
        <w:ind w:left="0" w:right="0" w:firstLine="560"/>
        <w:jc w:val="both"/>
      </w:pPr>
      <w:r>
        <w:rPr>
          <w:rFonts w:ascii="Times New Roman" w:hAnsi="Times New Roman" w:cs="Times New Roman" w:eastAsia="仿宋"/>
          <w:b w:val="0"/>
          <w:sz w:val="28"/>
        </w:rPr>
        <w:t>美国民主党参议员伊丽莎白·沃伦（Elizabeth Warren）与理查德·布卢门撒尔（Richard Blumenthal）已致函美国证券交易委员会（U.S. Securities and Exchange Commission，SEC），要求调查总统唐纳德·特朗普（Donald Trump）的迷因币（memecoin）$TRUMP。两位参议员在信中敦促特朗普任命的SEC主席保罗·阿特金斯（Paul Atkins）调查估计近100万投资者合计约38亿美元的损失。沃伦与布卢门撒尔指出，总统的财务披露显示他从该代币赚取了6.36亿美元。</w:t>
      </w:r>
    </w:p>
    <w:p>
      <w:pPr>
        <w:pStyle w:val="正文内容"/>
        <w:spacing w:before="0" w:after="0" w:line="240" w:lineRule="auto"/>
        <w:ind w:left="0" w:right="0" w:firstLine="560"/>
        <w:jc w:val="both"/>
      </w:pPr>
      <w:r>
        <w:rPr>
          <w:rFonts w:ascii="Times New Roman" w:hAnsi="Times New Roman" w:cs="Times New Roman" w:eastAsia="仿宋"/>
          <w:b w:val="0"/>
          <w:sz w:val="28"/>
        </w:rPr>
        <w:t>尽管SEC此前已将迷因币排除在其监管范围之外，但参议员们认为该机构有责任调查$TRUMP投资者遭受的数十亿美元损失。他们在周一发给阿特金斯的信中写道：“虽然所有加密货币交易都涉及风险，但如此明显的悬殊引发了对总统如何积累加密货币财富的质疑，包括可能通过欺诈性敛财计划，对市场诚信和稳定产生影响，更不用说近100万美国投资者的财务状况了。”</w:t>
      </w:r>
    </w:p>
    <w:p>
      <w:pPr>
        <w:pStyle w:val="正文内容"/>
        <w:spacing w:before="0" w:after="0" w:line="240" w:lineRule="auto"/>
        <w:ind w:left="0" w:right="0" w:firstLine="560"/>
        <w:jc w:val="both"/>
      </w:pPr>
      <w:r>
        <w:rPr>
          <w:rFonts w:ascii="Times New Roman" w:hAnsi="Times New Roman" w:cs="Times New Roman" w:eastAsia="仿宋"/>
          <w:b w:val="0"/>
          <w:sz w:val="28"/>
        </w:rPr>
        <w:t>$TRUMP币在最高点时价值超过46美元，随后稳步下滑至当前价格1.47美元。该代币曾两次在公司宣布将举办晚宴时出现短暂飙升，晚宴包括在特朗普的海湖庄园举行，并由总统担任主讲人，但两次价格上行都是暂时性的。</w:t>
      </w:r>
    </w:p>
    <w:p>
      <w:pPr>
        <w:pStyle w:val="正文内容"/>
        <w:spacing w:before="0" w:after="0" w:line="240" w:lineRule="auto"/>
        <w:ind w:left="0" w:right="0" w:firstLine="560"/>
        <w:jc w:val="both"/>
      </w:pPr>
      <w:r>
        <w:rPr>
          <w:rFonts w:ascii="Times New Roman" w:hAnsi="Times New Roman" w:cs="Times New Roman" w:eastAsia="仿宋"/>
          <w:b w:val="0"/>
          <w:sz w:val="28"/>
        </w:rPr>
        <w:t>这封信发出之际，希望完成《数字资产市场清晰法案》（Digital Asset Market Clarity Act，简称Clarity Act）的谈判代表正在等待白宫对最新修订版的回应。该修订涉及一个有争议的条款，即禁止高级政府官员直接参与加密项目。此前，SEC已裁定迷因币通常不属于其监管范围，在特朗普政府接管后的早期工作人员加密声明中，该机构宣布迷因币“几乎没有或根本没有用途或功能”，在法律上不构成证券。</w:t>
      </w:r>
    </w:p>
    <w:p>
      <w:pPr>
        <w:pStyle w:val="正文内容"/>
        <w:spacing w:before="0" w:after="0" w:line="240" w:lineRule="auto"/>
        <w:ind w:left="0" w:right="0" w:firstLine="560"/>
        <w:jc w:val="both"/>
      </w:pPr>
      <w:r>
        <w:rPr>
          <w:rFonts w:ascii="Times New Roman" w:hAnsi="Times New Roman" w:cs="Times New Roman" w:eastAsia="仿宋"/>
          <w:b w:val="0"/>
          <w:sz w:val="28"/>
        </w:rPr>
        <w:t>政府官员（如特朗普总统）发行此类代币的能力，正是Clarity Act伦理条款谈判的核心。特朗普最近同意接受限制，但他同意的限制实际效果非常狭窄。民主党人拒绝这一做法，并表示除非该条款得到加强，否则他们将反对这项立法。因此，共和党参议员汤姆·蒂利斯（Thom Tillis）和民主党参议员鲁本·加列戈（Ruben Gallego）协商了一个更严厉的版本。重写版已于上周提交白宫，但数日后白宫尚未回应。白宫发言人未立即回应CoinDesk有关其当前立场的提问。</w:t>
      </w:r>
    </w:p>
    <w:p>
      <w:pPr>
        <w:pStyle w:val="正文内容"/>
        <w:spacing w:before="0" w:after="0" w:line="240" w:lineRule="auto"/>
        <w:ind w:left="0" w:right="0" w:firstLine="560"/>
        <w:jc w:val="both"/>
      </w:pPr>
      <w:r>
        <w:rPr>
          <w:rFonts w:ascii="Times New Roman" w:hAnsi="Times New Roman" w:cs="Times New Roman" w:eastAsia="仿宋"/>
          <w:b w:val="0"/>
          <w:sz w:val="28"/>
        </w:rPr>
        <w:t>如果不能尽快达成新协议，说服多达10名民主党人支持该法案，参议院多数党领袖约翰·图恩（John Thune）本周开始Clarity Act参议院投票程序的计划可能会导致惨败。</w:t>
      </w:r>
    </w:p>
    <w:p>
      <w:pPr>
        <w:pStyle w:val="正文内容"/>
        <w:spacing w:before="0" w:after="0" w:line="240" w:lineRule="auto"/>
        <w:ind w:left="0" w:right="0" w:firstLine="560"/>
        <w:jc w:val="both"/>
      </w:pPr>
      <w:r>
        <w:rPr>
          <w:rFonts w:ascii="Times New Roman" w:hAnsi="Times New Roman" w:cs="Times New Roman" w:eastAsia="仿宋"/>
          <w:b w:val="0"/>
          <w:sz w:val="28"/>
        </w:rPr>
        <w:t>沃伦是马萨诸塞州民主党参议员，也是参议院银行委员会中少数党的高级成员，但她一直未参与Clarity Act的谈判，并且始终反对该法案。如果民主党在今年的中期选举中获得预期的选举提振，其政党有微弱机会重回参议院多数席位。若如此，沃伦很可能执掌银行委员会，该委员会负责监督SEC，并参与大多数加密立法。</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原文标题：Clarity Act sits idle over Trump ethics question as Warren asks SEC to investigate him</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原文链接：https://www.coindesk.com/policy/2026/08/04/clarity-act-sits-idle-over-trump-ethics-question-as-warren-asks-sec-to-investigate-him</w:t>
      </w:r>
    </w:p>
    <w:p/>
    <w:p>
      <w:pPr>
        <w:pStyle w:val="文章一级标题"/>
        <w:spacing w:before="0" w:after="0" w:line="240" w:lineRule="auto"/>
        <w:ind w:left="0" w:right="0" w:firstLine="0"/>
        <w:jc w:val="center"/>
      </w:pPr>
      <w:r>
        <w:rPr>
          <w:rFonts w:ascii="Times New Roman" w:hAnsi="Times New Roman" w:cs="Times New Roman" w:eastAsia="黑体"/>
          <w:b w:val="0"/>
          <w:sz w:val="30"/>
        </w:rPr>
        <w:t>尼日利亚为数字资产平台制定加密税收征管规则</w:t>
      </w:r>
    </w:p>
    <w:p>
      <w:pPr>
        <w:spacing w:before="0" w:after="0" w:line="240" w:lineRule="auto"/>
        <w:ind w:left="0" w:right="0" w:firstLine="0"/>
        <w:jc w:val="both"/>
      </w:pPr>
      <w:r>
        <w:rPr>
          <w:rFonts w:ascii="Times New Roman" w:hAnsi="Times New Roman" w:cs="Times New Roman" w:eastAsia="仿宋"/>
          <w:b w:val="0"/>
          <w:sz w:val="28"/>
        </w:rPr>
        <w:t>· 尼日利亚税务局（NRS）发布《虚拟资产税务指南》，要求加密平台和点对点（P2P）市场收集、报告和汇缴税款，部分预扣税额以原始代币支付。</w:t>
      </w:r>
    </w:p>
    <w:p>
      <w:pPr>
        <w:spacing w:before="0" w:after="0" w:line="240" w:lineRule="auto"/>
        <w:ind w:left="0" w:right="0" w:firstLine="0"/>
        <w:jc w:val="both"/>
      </w:pPr>
      <w:r>
        <w:rPr>
          <w:rFonts w:ascii="Times New Roman" w:hAnsi="Times New Roman" w:cs="Times New Roman" w:eastAsia="仿宋"/>
          <w:b w:val="0"/>
          <w:sz w:val="28"/>
        </w:rPr>
        <w:t>· 平台须预扣1%的加密资产处置收益，质押、挖矿、空投和DeFi适用10%预扣税率，代币与法币转换征收1.5%印花税；稳定币销售免征1%预扣税。</w:t>
      </w:r>
    </w:p>
    <w:p>
      <w:pPr>
        <w:spacing w:before="0" w:after="0" w:line="240" w:lineRule="auto"/>
        <w:ind w:left="0" w:right="0" w:firstLine="0"/>
        <w:jc w:val="both"/>
      </w:pPr>
      <w:r>
        <w:rPr>
          <w:rFonts w:ascii="Times New Roman" w:hAnsi="Times New Roman" w:cs="Times New Roman" w:eastAsia="仿宋"/>
          <w:b w:val="0"/>
          <w:sz w:val="28"/>
        </w:rPr>
        <w:t>· 新指南在总统博拉·蒂努布签署行政令设立虚拟资产委员会后发布；尼日利亚2025年税收法案已生效，将数字资产视为应税资产并要求服务商报告客户交易信息。</w:t>
      </w:r>
    </w:p>
    <w:p>
      <w:pPr>
        <w:pStyle w:val="正文内容"/>
        <w:spacing w:before="0" w:after="0" w:line="240" w:lineRule="auto"/>
        <w:ind w:left="0" w:right="0" w:firstLine="560"/>
        <w:jc w:val="both"/>
      </w:pPr>
      <w:r>
        <w:rPr>
          <w:rFonts w:ascii="Times New Roman" w:hAnsi="Times New Roman" w:cs="Times New Roman" w:eastAsia="仿宋"/>
          <w:b w:val="0"/>
          <w:sz w:val="28"/>
        </w:rPr>
        <w:t>尼日利亚税务局（NRS）发布《虚拟资产税务指南》（Guidelines on Taxation of Virtual Assets），要求加密平台和点对点（P2P）市场收集、报告并汇缴税款，其中部分预扣税额需以数字代币形式支付。该指南表明，现有税收义务将适用于加密资产的处置和奖励，并指定了部分税款的代币缴纳方式。</w:t>
      </w:r>
    </w:p>
    <w:p>
      <w:pPr>
        <w:pStyle w:val="正文内容"/>
        <w:spacing w:before="0" w:after="0" w:line="240" w:lineRule="auto"/>
        <w:ind w:left="0" w:right="0" w:firstLine="560"/>
        <w:jc w:val="both"/>
      </w:pPr>
      <w:r>
        <w:rPr>
          <w:rFonts w:ascii="Times New Roman" w:hAnsi="Times New Roman" w:cs="Times New Roman" w:eastAsia="仿宋"/>
          <w:b w:val="0"/>
          <w:sz w:val="28"/>
        </w:rPr>
        <w:t>指南规定，源泉扣缴的所得税和印花税“应以交易的原始代币汇缴给税务局”，相比之下，增值税则须以支付所用货币汇缴。同时，指南将交易所和P2P市场置于该国现有法律下代扣、报告和汇缴的核心位置。</w:t>
      </w:r>
    </w:p>
    <w:p>
      <w:pPr>
        <w:pStyle w:val="正文内容"/>
        <w:spacing w:before="0" w:after="0" w:line="240" w:lineRule="auto"/>
        <w:ind w:left="0" w:right="0" w:firstLine="560"/>
        <w:jc w:val="both"/>
      </w:pPr>
      <w:r>
        <w:rPr>
          <w:rFonts w:ascii="Times New Roman" w:hAnsi="Times New Roman" w:cs="Times New Roman" w:eastAsia="仿宋"/>
          <w:b w:val="0"/>
          <w:sz w:val="28"/>
        </w:rPr>
        <w:t>就具体税率而言，平台必须预扣应税加密资产处置收益的1%，涉及证券型代币和适用的非同质化代币（NFT）；对于质押、挖矿、空投和去中心化金融（DeFi），预扣税率为10%；代币兑法币及法币兑代币的转换则适用1.5%印花税。</w:t>
      </w:r>
    </w:p>
    <w:p>
      <w:pPr>
        <w:pStyle w:val="正文内容"/>
        <w:spacing w:before="0" w:after="0" w:line="240" w:lineRule="auto"/>
        <w:ind w:left="0" w:right="0" w:firstLine="560"/>
        <w:jc w:val="both"/>
      </w:pPr>
      <w:r>
        <w:rPr>
          <w:rFonts w:ascii="Times New Roman" w:hAnsi="Times New Roman" w:cs="Times New Roman" w:eastAsia="仿宋"/>
          <w:b w:val="0"/>
          <w:sz w:val="28"/>
        </w:rPr>
        <w:t>预扣金额属于预付款项，可在纳税人最终所得税负债中抵扣。在纳税人类型方面，个人按累进税率纳税，而小型企业以外的公司则适用30%税率。此外，稳定币销售不在1%预扣税范围内。</w:t>
      </w:r>
    </w:p>
    <w:p>
      <w:pPr>
        <w:pStyle w:val="正文内容"/>
        <w:spacing w:before="0" w:after="0" w:line="240" w:lineRule="auto"/>
        <w:ind w:left="0" w:right="0" w:firstLine="560"/>
        <w:jc w:val="both"/>
      </w:pPr>
      <w:r>
        <w:rPr>
          <w:rFonts w:ascii="Times New Roman" w:hAnsi="Times New Roman" w:cs="Times New Roman" w:eastAsia="仿宋"/>
          <w:b w:val="0"/>
          <w:sz w:val="28"/>
        </w:rPr>
        <w:t>新指南在总统博拉·蒂努布（Bola Tinubu）签署行政令设立虚拟资产委员会之后发布。该委员会由中央银行担任主席，NRS与证券交易委员会（SEC）担任副主席。7月18日，总统府表示NRS将发布政策，以实施尼日利亚针对虚拟资产的税法。</w:t>
      </w:r>
    </w:p>
    <w:p>
      <w:pPr>
        <w:pStyle w:val="正文内容"/>
        <w:spacing w:before="0" w:after="0" w:line="240" w:lineRule="auto"/>
        <w:ind w:left="0" w:right="0" w:firstLine="560"/>
        <w:jc w:val="both"/>
      </w:pPr>
      <w:r>
        <w:rPr>
          <w:rFonts w:ascii="Times New Roman" w:hAnsi="Times New Roman" w:cs="Times New Roman" w:eastAsia="仿宋"/>
          <w:b w:val="0"/>
          <w:sz w:val="28"/>
        </w:rPr>
        <w:t>尼日利亚更广泛的税收改革已于1月1日生效，依据是2025年《尼日利亚税法》和《尼日利亚税务管理法》。该立法将数字资产视为应税资产，并要求虚拟资产服务提供商报告交易细节，包括客户姓名、联系方式和税务识别号。</w:t>
      </w:r>
    </w:p>
    <w:p>
      <w:pPr>
        <w:pStyle w:val="正文内容"/>
        <w:spacing w:before="0" w:after="0" w:line="240" w:lineRule="auto"/>
        <w:ind w:left="0" w:right="0" w:firstLine="560"/>
        <w:jc w:val="both"/>
      </w:pPr>
      <w:r>
        <w:rPr>
          <w:rFonts w:ascii="Times New Roman" w:hAnsi="Times New Roman" w:cs="Times New Roman" w:eastAsia="仿宋"/>
          <w:b w:val="0"/>
          <w:sz w:val="28"/>
        </w:rPr>
        <w:t>尼日利亚最早通过2023年《财政法案》明确对加密资产处置收益征税，当时采用10%的统一资本利得税。2025年框架取代了这一处理方式，而新指南具体规定了收益估值方式，以及税款如何预扣、汇缴和对账。</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原文标题：Nigeria sets crypto tax collection rules for digital asset platforms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原文链接：https://cointelegraph.com/news/nigeria-crypto-tax-rules-digital-asset-platforms</w:t>
      </w:r>
    </w:p>
    <w:p/>
    <w:p>
      <w:pPr>
        <w:pStyle w:val="文章一级标题"/>
        <w:spacing w:before="0" w:after="0" w:line="240" w:lineRule="auto"/>
        <w:ind w:left="0" w:right="0" w:firstLine="0"/>
        <w:jc w:val="center"/>
      </w:pPr>
      <w:r>
        <w:rPr>
          <w:rFonts w:ascii="Times New Roman" w:hAnsi="Times New Roman" w:cs="Times New Roman" w:eastAsia="黑体"/>
          <w:b w:val="0"/>
          <w:sz w:val="30"/>
        </w:rPr>
        <w:t>南非立法者提议跨境加密货币交易规则草案</w:t>
      </w:r>
    </w:p>
    <w:p>
      <w:pPr>
        <w:spacing w:before="0" w:after="0" w:line="240" w:lineRule="auto"/>
        <w:ind w:left="0" w:right="0" w:firstLine="0"/>
        <w:jc w:val="both"/>
      </w:pPr>
      <w:r>
        <w:rPr>
          <w:rFonts w:ascii="Times New Roman" w:hAnsi="Times New Roman" w:cs="Times New Roman" w:eastAsia="仿宋"/>
          <w:b w:val="0"/>
          <w:sz w:val="28"/>
        </w:rPr>
        <w:t>· 南非国家财政部与南非储备银行发布规则手册草案，拟监管加密货币跨境交易。</w:t>
      </w:r>
    </w:p>
    <w:p>
      <w:pPr>
        <w:spacing w:before="0" w:after="0" w:line="240" w:lineRule="auto"/>
        <w:ind w:left="0" w:right="0" w:firstLine="0"/>
        <w:jc w:val="both"/>
      </w:pPr>
      <w:r>
        <w:rPr>
          <w:rFonts w:ascii="Times New Roman" w:hAnsi="Times New Roman" w:cs="Times New Roman" w:eastAsia="仿宋"/>
          <w:b w:val="0"/>
          <w:sz w:val="28"/>
        </w:rPr>
        <w:t>· 草案要求跨境发送加密货币须通过授权提供商，并报告给央行金融监视部门（FinSurv）。</w:t>
      </w:r>
    </w:p>
    <w:p>
      <w:pPr>
        <w:spacing w:before="0" w:after="0" w:line="240" w:lineRule="auto"/>
        <w:ind w:left="0" w:right="0" w:firstLine="0"/>
        <w:jc w:val="both"/>
      </w:pPr>
      <w:r>
        <w:rPr>
          <w:rFonts w:ascii="Times New Roman" w:hAnsi="Times New Roman" w:cs="Times New Roman" w:eastAsia="仿宋"/>
          <w:b w:val="0"/>
          <w:sz w:val="28"/>
        </w:rPr>
        <w:t>· 草案不会使加密货币成为法定货币，也不区分数字资产；意见征询截止9月30日。</w:t>
      </w:r>
    </w:p>
    <w:p>
      <w:pPr>
        <w:pStyle w:val="正文内容"/>
        <w:spacing w:before="0" w:after="0" w:line="240" w:lineRule="auto"/>
        <w:ind w:left="0" w:right="0" w:firstLine="560"/>
        <w:jc w:val="both"/>
      </w:pPr>
      <w:r>
        <w:rPr>
          <w:rFonts w:ascii="Times New Roman" w:hAnsi="Times New Roman" w:cs="Times New Roman" w:eastAsia="仿宋"/>
          <w:b w:val="0"/>
          <w:sz w:val="28"/>
        </w:rPr>
        <w:t>南非国家财政部（National Treasury）与南非储备银行（South African Reserve Bank，SARB）正着手对加密货币跨境交易进行监管。两机构于本周一发布了一份规则手册草案，提议将加密货币发送至境外必须通过授权提供商进行，并报告给中央银行的金融监视部门（Financial Surveillance Department，FinSurv）。</w:t>
      </w:r>
    </w:p>
    <w:p>
      <w:pPr>
        <w:pStyle w:val="正文内容"/>
        <w:spacing w:before="0" w:after="0" w:line="240" w:lineRule="auto"/>
        <w:ind w:left="0" w:right="0" w:firstLine="560"/>
        <w:jc w:val="both"/>
      </w:pPr>
      <w:r>
        <w:rPr>
          <w:rFonts w:ascii="Times New Roman" w:hAnsi="Times New Roman" w:cs="Times New Roman" w:eastAsia="仿宋"/>
          <w:b w:val="0"/>
          <w:sz w:val="28"/>
        </w:rPr>
        <w:t>根据草案，跨境加密转账需要经由授权提供商，并将交易信息报送至金融监视部门。这一规定要求任何向境外发送加密货币的操作都必须通过授权提供商进行。金融监视部门将接收这些报告。</w:t>
      </w:r>
    </w:p>
    <w:p>
      <w:pPr>
        <w:pStyle w:val="正文内容"/>
        <w:spacing w:before="0" w:after="0" w:line="240" w:lineRule="auto"/>
        <w:ind w:left="0" w:right="0" w:firstLine="560"/>
        <w:jc w:val="both"/>
      </w:pPr>
      <w:r>
        <w:rPr>
          <w:rFonts w:ascii="Times New Roman" w:hAnsi="Times New Roman" w:cs="Times New Roman" w:eastAsia="仿宋"/>
          <w:b w:val="0"/>
          <w:sz w:val="28"/>
        </w:rPr>
        <w:t>财政部和储备银行在联合声明中表示，拟议的监管措施旨在尽量减少受监管实体在开展跨境活动时的监管套利风险，并增强金融监视部门发现、威慑和瓦解非法金融流动的能力。这一联合声明由两机构共同发布。</w:t>
      </w:r>
    </w:p>
    <w:p>
      <w:pPr>
        <w:pStyle w:val="正文内容"/>
        <w:spacing w:before="0" w:after="0" w:line="240" w:lineRule="auto"/>
        <w:ind w:left="0" w:right="0" w:firstLine="560"/>
        <w:jc w:val="both"/>
      </w:pPr>
      <w:r>
        <w:rPr>
          <w:rFonts w:ascii="Times New Roman" w:hAnsi="Times New Roman" w:cs="Times New Roman" w:eastAsia="仿宋"/>
          <w:b w:val="0"/>
          <w:sz w:val="28"/>
        </w:rPr>
        <w:t>草案还规定，该监管框架不会使加密货币成为法定货币，规则也不对不同数字资产加以区分。这意味着，监管规则不会对数字资产进行类别上的区分。</w:t>
      </w:r>
    </w:p>
    <w:p>
      <w:pPr>
        <w:pStyle w:val="正文内容"/>
        <w:spacing w:before="0" w:after="0" w:line="240" w:lineRule="auto"/>
        <w:ind w:left="0" w:right="0" w:firstLine="560"/>
        <w:jc w:val="both"/>
      </w:pPr>
      <w:r>
        <w:rPr>
          <w:rFonts w:ascii="Times New Roman" w:hAnsi="Times New Roman" w:cs="Times New Roman" w:eastAsia="仿宋"/>
          <w:b w:val="0"/>
          <w:sz w:val="28"/>
        </w:rPr>
        <w:t>两机构已邀请相关利益方提供评论意见，截止日期为9月30日。有关方面可在9月30日前提交反馈。</w:t>
      </w:r>
    </w:p>
    <w:p>
      <w:pPr>
        <w:pStyle w:val="正文内容"/>
        <w:spacing w:before="0" w:after="0" w:line="240" w:lineRule="auto"/>
        <w:ind w:left="0" w:right="0" w:firstLine="560"/>
        <w:jc w:val="both"/>
      </w:pPr>
      <w:r>
        <w:rPr>
          <w:rFonts w:ascii="Times New Roman" w:hAnsi="Times New Roman" w:cs="Times New Roman" w:eastAsia="仿宋"/>
          <w:b w:val="0"/>
          <w:sz w:val="28"/>
        </w:rPr>
        <w:t>拟议规则建立在国家财政部4月发布的先前规则草案基础上。该草案要求加密货币持有者在资产超过一定门槛时进行申报，并在执法官员要求时交出私钥。这些要求是4月草案中的内容。</w:t>
      </w:r>
    </w:p>
    <w:p>
      <w:pPr>
        <w:pStyle w:val="正文内容"/>
        <w:spacing w:before="0" w:after="0" w:line="240" w:lineRule="auto"/>
        <w:ind w:left="0" w:right="0" w:firstLine="560"/>
        <w:jc w:val="both"/>
      </w:pPr>
      <w:r>
        <w:rPr>
          <w:rFonts w:ascii="Times New Roman" w:hAnsi="Times New Roman" w:cs="Times New Roman" w:eastAsia="仿宋"/>
          <w:b w:val="0"/>
          <w:sz w:val="28"/>
        </w:rPr>
        <w:t>南非推动加密货币监管，正值全球范围内迅速转向可执行的跨境监管框架。在各司法辖区，监管当局都被赋予保护消费者和维护金融体系安全的职责，同时往往还需要支持创新。这一趋势的结果是形成了全球性的政策拼图。</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原文标题：South African lawmakers propose draft rules on cross-border crypto transactions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原文链接：https://www.coindesk.com/policy/2026/08/04/south-african-lawmakers-propose-draft-rules-on-cross-border-crypto-transactions</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spacing w:before="0" w:after="0" w:line="240" w:lineRule="auto"/>
        <w:ind w:left="0" w:right="0" w:firstLine="0"/>
        <w:jc w:val="center"/>
      </w:pPr>
      <w:r>
        <w:rPr>
          <w:rFonts w:ascii="Times New Roman" w:hAnsi="Times New Roman" w:cs="Times New Roman" w:eastAsia="黑体"/>
          <w:b w:val="0"/>
          <w:sz w:val="30"/>
        </w:rPr>
        <w:t>贝莱德携手摩根大通Kinexys将3110亿美元欧洲货币市场基金代币化</w:t>
      </w:r>
    </w:p>
    <w:p>
      <w:pPr>
        <w:spacing w:before="0" w:after="0" w:line="240" w:lineRule="auto"/>
        <w:ind w:left="0" w:right="0" w:firstLine="0"/>
        <w:jc w:val="both"/>
      </w:pPr>
      <w:r>
        <w:rPr>
          <w:rFonts w:ascii="Times New Roman" w:hAnsi="Times New Roman" w:cs="Times New Roman" w:eastAsia="仿宋"/>
          <w:b w:val="0"/>
          <w:sz w:val="28"/>
        </w:rPr>
        <w:t>· 贝莱德首次在欧洲推出链上基金，为合计持有3110亿美元的欧洲货币市场基金发行代币化份额类别，共12个新份额类别分布在6只基金中。</w:t>
      </w:r>
    </w:p>
    <w:p>
      <w:pPr>
        <w:spacing w:before="0" w:after="0" w:line="240" w:lineRule="auto"/>
        <w:ind w:left="0" w:right="0" w:firstLine="0"/>
        <w:jc w:val="both"/>
      </w:pPr>
      <w:r>
        <w:rPr>
          <w:rFonts w:ascii="Times New Roman" w:hAnsi="Times New Roman" w:cs="Times New Roman" w:eastAsia="仿宋"/>
          <w:b w:val="0"/>
          <w:sz w:val="28"/>
        </w:rPr>
        <w:t>· 代币在以太坊上通过摩根大通Kinexys铸造，Kinexys负责铸造和销毁，官方股东名册由基金的转让代理人维护。</w:t>
      </w:r>
    </w:p>
    <w:p>
      <w:pPr>
        <w:spacing w:before="0" w:after="0" w:line="240" w:lineRule="auto"/>
        <w:ind w:left="0" w:right="0" w:firstLine="0"/>
        <w:jc w:val="both"/>
      </w:pPr>
      <w:r>
        <w:rPr>
          <w:rFonts w:ascii="Times New Roman" w:hAnsi="Times New Roman" w:cs="Times New Roman" w:eastAsia="仿宋"/>
          <w:b w:val="0"/>
          <w:sz w:val="28"/>
        </w:rPr>
        <w:t>· 新份额类别面向专业及合格客户，在13个国家和地区提供，贝莱德数字现金主管称保留相同的资本保全、流动性和风险管理标准。</w:t>
      </w:r>
    </w:p>
    <w:p>
      <w:pPr>
        <w:pStyle w:val="正文内容"/>
        <w:spacing w:before="0" w:after="0" w:line="240" w:lineRule="auto"/>
        <w:ind w:left="0" w:right="0" w:firstLine="560"/>
        <w:jc w:val="both"/>
      </w:pPr>
      <w:r>
        <w:rPr>
          <w:rFonts w:ascii="Times New Roman" w:hAnsi="Times New Roman" w:cs="Times New Roman" w:eastAsia="仿宋"/>
          <w:b w:val="0"/>
          <w:sz w:val="28"/>
        </w:rPr>
        <w:t>贝莱德（BlackRock）已为合计持有3110亿美元的欧洲货币市场基金推出代币化份额类别，这是其首次在欧洲提供链上基金入口。这些份额类别通过摩根大通（J.P. Morgan）的区块链部门Kinexys，在以太坊（Ethereum）上铸造代币。此次共发布12个新份额类别，分布在贝莱德机构现金系列（BlackRock Institutional Cash Series）的6只基金中。</w:t>
      </w:r>
    </w:p>
    <w:p>
      <w:pPr>
        <w:pStyle w:val="正文内容"/>
        <w:spacing w:before="0" w:after="0" w:line="240" w:lineRule="auto"/>
        <w:ind w:left="0" w:right="0" w:firstLine="560"/>
        <w:jc w:val="both"/>
      </w:pPr>
      <w:r>
        <w:rPr>
          <w:rFonts w:ascii="Times New Roman" w:hAnsi="Times New Roman" w:cs="Times New Roman" w:eastAsia="仿宋"/>
          <w:b w:val="0"/>
          <w:sz w:val="28"/>
        </w:rPr>
        <w:t>新份额类别涵盖欧元、英镑和美元策略，同时提供分配和累积两种形式。基础基金为公共债务恒定净资产值（constant net asset value）和低波动率净值（low volatility NAV）货币市场基金，属于欧洲UCITS制度监管的结构。每个代币代表基础基金中的一份份额，而官方股东名册继续由基金的转让代理人维护。</w:t>
      </w:r>
    </w:p>
    <w:p>
      <w:pPr>
        <w:pStyle w:val="正文内容"/>
        <w:spacing w:before="0" w:after="0" w:line="240" w:lineRule="auto"/>
        <w:ind w:left="0" w:right="0" w:firstLine="560"/>
        <w:jc w:val="both"/>
      </w:pPr>
      <w:r>
        <w:rPr>
          <w:rFonts w:ascii="Times New Roman" w:hAnsi="Times New Roman" w:cs="Times New Roman" w:eastAsia="仿宋"/>
          <w:b w:val="0"/>
          <w:sz w:val="28"/>
        </w:rPr>
        <w:t>代币在以太坊上通过Kinexys铸造，该部门负责铸造和销毁，并充当链上活动与传统股份登记之间的中间层。智能合约可在获批准的投资者钱包之间转移持仓，贝莱德称这能实现全天候点对点可转让性和近实时可见性。</w:t>
      </w:r>
    </w:p>
    <w:p>
      <w:pPr>
        <w:pStyle w:val="正文内容"/>
        <w:spacing w:before="0" w:after="0" w:line="240" w:lineRule="auto"/>
        <w:ind w:left="0" w:right="0" w:firstLine="560"/>
        <w:jc w:val="both"/>
      </w:pPr>
      <w:r>
        <w:rPr>
          <w:rFonts w:ascii="Times New Roman" w:hAnsi="Times New Roman" w:cs="Times New Roman" w:eastAsia="仿宋"/>
          <w:b w:val="0"/>
          <w:sz w:val="28"/>
        </w:rPr>
        <w:t>贝莱德全球现金分配主管兼国际现金管理业务负责人Beccy Milchem在提供给Decrypt的新闻稿中表示：“今天的推出代表了投资者获取和管理现金方式的重要演变，同时有助于现代化资本市场基础设施。”Kinexys全球市场发展主管Kara Kennedy则指出，代币化已从概念走向执行。</w:t>
      </w:r>
    </w:p>
    <w:p>
      <w:pPr>
        <w:pStyle w:val="正文内容"/>
        <w:spacing w:before="0" w:after="0" w:line="240" w:lineRule="auto"/>
        <w:ind w:left="0" w:right="0" w:firstLine="560"/>
        <w:jc w:val="both"/>
      </w:pPr>
      <w:r>
        <w:rPr>
          <w:rFonts w:ascii="Times New Roman" w:hAnsi="Times New Roman" w:cs="Times New Roman" w:eastAsia="仿宋"/>
          <w:b w:val="0"/>
          <w:sz w:val="28"/>
        </w:rPr>
        <w:t>贝莱德还提到，预期该结构将打开企业资金管理、数字抵押品以及银行和财富分销渠道等使用案例。这些份额类别面向专业及合格客户销售，而非散户投资者，可在百慕大、爱沙尼亚、法国、德国、爱尔兰、立陶宛、卢森堡、马耳他、荷兰、新加坡、西班牙、瑞典和英国等13个国家和地区获得。</w:t>
      </w:r>
    </w:p>
    <w:p>
      <w:pPr>
        <w:pStyle w:val="正文内容"/>
        <w:spacing w:before="0" w:after="0" w:line="240" w:lineRule="auto"/>
        <w:ind w:left="0" w:right="0" w:firstLine="560"/>
        <w:jc w:val="both"/>
      </w:pPr>
      <w:r>
        <w:rPr>
          <w:rFonts w:ascii="Times New Roman" w:hAnsi="Times New Roman" w:cs="Times New Roman" w:eastAsia="仿宋"/>
          <w:b w:val="0"/>
          <w:sz w:val="28"/>
        </w:rPr>
        <w:t>贝莱德数字现金主管Hannah Winter表示，代币化版本保留了与现有份额类别相同的资本保全、流动性和风险管理标准。此次发布的前一天，贝莱德发行了在Solana、Ethereum和Stripe的Tempo上记录所有权的代币化货币市场基金，Securitize担任转让代理人，旨在用于稳定币储备管理。</w:t>
      </w:r>
    </w:p>
    <w:p>
      <w:pPr>
        <w:pStyle w:val="正文内容"/>
        <w:spacing w:before="0" w:after="0" w:line="240" w:lineRule="auto"/>
        <w:ind w:left="0" w:right="0" w:firstLine="560"/>
        <w:jc w:val="both"/>
      </w:pPr>
      <w:r>
        <w:rPr>
          <w:rFonts w:ascii="Times New Roman" w:hAnsi="Times New Roman" w:cs="Times New Roman" w:eastAsia="仿宋"/>
          <w:b w:val="0"/>
          <w:sz w:val="28"/>
        </w:rPr>
        <w:t>自2024年3月在以太坊上推出代币化基金BUIDL以来，贝莱德一直在朝这一方向推进，BUIDL最低投资额为500万美元，现已扩展到八个网络，管理资产超过26亿美元。贝莱德首席执行官Larry Fink和首席运营官Rob Goldstein将代币化称为“市场基础设施的下一个重大演变”。</w:t>
      </w:r>
    </w:p>
    <w:p>
      <w:pPr>
        <w:pStyle w:val="正文内容"/>
        <w:spacing w:before="0" w:after="0" w:line="240" w:lineRule="auto"/>
        <w:ind w:left="0" w:right="0" w:firstLine="560"/>
        <w:jc w:val="both"/>
      </w:pPr>
      <w:r>
        <w:rPr>
          <w:rFonts w:ascii="Times New Roman" w:hAnsi="Times New Roman" w:cs="Times New Roman" w:eastAsia="仿宋"/>
          <w:b w:val="0"/>
          <w:sz w:val="28"/>
        </w:rPr>
        <w:t>不过，贝莱德并未说明预计将有多少现有资产上链。此次ICS份额类别的推出基于3110亿美元的现有资产。</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原文标题：BlackRock Tokenizes $311B of European Money Market Funds With JP Morgan's Kinexys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原文链接：https://decrypt.co/374894/blackrock-tokenizes-311b-of-european-money-market-funds-with-jp-morgans-kinexys</w:t>
      </w:r>
    </w:p>
    <w:p/>
    <w:p>
      <w:pPr>
        <w:pStyle w:val="文章一级标题"/>
        <w:spacing w:before="0" w:after="0" w:line="240" w:lineRule="auto"/>
        <w:ind w:left="0" w:right="0" w:firstLine="0"/>
        <w:jc w:val="center"/>
      </w:pPr>
      <w:r>
        <w:rPr>
          <w:rFonts w:ascii="Times New Roman" w:hAnsi="Times New Roman" w:cs="Times New Roman" w:eastAsia="黑体"/>
          <w:b w:val="0"/>
          <w:sz w:val="30"/>
        </w:rPr>
        <w:t>BitGo将WBTC迁移至Chainlink跨链迁移总额逼近150亿美元</w:t>
      </w:r>
    </w:p>
    <w:p>
      <w:pPr>
        <w:spacing w:before="0" w:after="0" w:line="240" w:lineRule="auto"/>
        <w:ind w:left="0" w:right="0" w:firstLine="0"/>
        <w:jc w:val="both"/>
      </w:pPr>
      <w:r>
        <w:rPr>
          <w:rFonts w:ascii="Times New Roman" w:hAnsi="Times New Roman" w:cs="Times New Roman" w:eastAsia="仿宋"/>
          <w:b w:val="0"/>
          <w:sz w:val="28"/>
        </w:rPr>
        <w:t>· BitGo将用Chainlink替换LayerZero，作为价值73亿美元WBTC的独家跨链提供商。</w:t>
      </w:r>
    </w:p>
    <w:p>
      <w:pPr>
        <w:spacing w:before="0" w:after="0" w:line="240" w:lineRule="auto"/>
        <w:ind w:left="0" w:right="0" w:firstLine="0"/>
        <w:jc w:val="both"/>
      </w:pPr>
      <w:r>
        <w:rPr>
          <w:rFonts w:ascii="Times New Roman" w:hAnsi="Times New Roman" w:cs="Times New Roman" w:eastAsia="仿宋"/>
          <w:b w:val="0"/>
          <w:sz w:val="28"/>
        </w:rPr>
        <w:t>· Kelp DAO桥接遭遇2.92亿美元漏洞利用后，多个项目已宣布从LayerZero迁移至Chainlink的CCIP。</w:t>
      </w:r>
    </w:p>
    <w:p>
      <w:pPr>
        <w:spacing w:before="0" w:after="0" w:line="240" w:lineRule="auto"/>
        <w:ind w:left="0" w:right="0" w:firstLine="0"/>
        <w:jc w:val="both"/>
      </w:pPr>
      <w:r>
        <w:rPr>
          <w:rFonts w:ascii="Times New Roman" w:hAnsi="Times New Roman" w:cs="Times New Roman" w:eastAsia="仿宋"/>
          <w:b w:val="0"/>
          <w:sz w:val="28"/>
        </w:rPr>
        <w:t>· 已公布的迁移总额接近150亿美元，BitGo将保留对WBTC代币合约和转账设置的控制。</w:t>
      </w:r>
    </w:p>
    <w:p>
      <w:pPr>
        <w:pStyle w:val="正文内容"/>
        <w:spacing w:before="0" w:after="0" w:line="240" w:lineRule="auto"/>
        <w:ind w:left="0" w:right="0" w:firstLine="560"/>
        <w:jc w:val="both"/>
      </w:pPr>
      <w:r>
        <w:rPr>
          <w:rFonts w:ascii="Times New Roman" w:hAnsi="Times New Roman" w:cs="Times New Roman" w:eastAsia="仿宋"/>
          <w:b w:val="0"/>
          <w:sz w:val="28"/>
        </w:rPr>
        <w:t>BitGo将WBTC迁移至Chainlink，使公开宣布的LayerZero至Chainlink迁移总额接近150亿美元。这是继Kelp桥漏洞利用后，多个项目迁移至CCIP浪潮的一部分。</w:t>
      </w:r>
    </w:p>
    <w:p>
      <w:pPr>
        <w:pStyle w:val="正文内容"/>
        <w:spacing w:before="0" w:after="0" w:line="240" w:lineRule="auto"/>
        <w:ind w:left="0" w:right="0" w:firstLine="560"/>
        <w:jc w:val="both"/>
      </w:pPr>
      <w:r>
        <w:rPr>
          <w:rFonts w:ascii="Times New Roman" w:hAnsi="Times New Roman" w:cs="Times New Roman" w:eastAsia="仿宋"/>
          <w:b w:val="0"/>
          <w:sz w:val="28"/>
        </w:rPr>
        <w:t>加密基础设施公司BitGo（股票代码：BTGO）正准备用Chainlink（链环）替换LayerZero（零层），作为其包裹比特币（Wrapped Bitcoin，简称WBTC）的独家跨链服务提供商。这一迁移举措，使得公开宣布的从LayerZero迁移至Chainlink的资产总价值，提升至接近一百五十亿美元。</w:t>
      </w:r>
    </w:p>
    <w:p>
      <w:pPr>
        <w:pStyle w:val="正文内容"/>
        <w:spacing w:before="0" w:after="0" w:line="240" w:lineRule="auto"/>
        <w:ind w:left="0" w:right="0" w:firstLine="560"/>
        <w:jc w:val="both"/>
      </w:pPr>
      <w:r>
        <w:rPr>
          <w:rFonts w:ascii="Times New Roman" w:hAnsi="Times New Roman" w:cs="Times New Roman" w:eastAsia="仿宋"/>
          <w:b w:val="0"/>
          <w:sz w:val="28"/>
        </w:rPr>
        <w:t>此次迁移是更广泛迁移浪潮的一个组成部分。该浪潮始于今年早些时候发生的Kelp DAO基于LayerZero的桥接漏洞，利用金额达到二点九二亿美元。这一事件导致外界对于LayerZero桥配置的审查更加严格。此后，包括曼特尔（Mantle）、凯尔普（Kelp）、伦巴第（Lombard）、索尔夫协议（Solv Protocol）、维尔斯（Virtuals）、雷（Re）以及克拉肯（Kraken）在内的多个项目，也都相继宣布迁移至Chainlink的CCIP。</w:t>
      </w:r>
    </w:p>
    <w:p>
      <w:pPr>
        <w:pStyle w:val="正文内容"/>
        <w:spacing w:before="0" w:after="0" w:line="240" w:lineRule="auto"/>
        <w:ind w:left="0" w:right="0" w:firstLine="560"/>
        <w:jc w:val="both"/>
      </w:pPr>
      <w:r>
        <w:rPr>
          <w:rFonts w:ascii="Times New Roman" w:hAnsi="Times New Roman" w:cs="Times New Roman" w:eastAsia="仿宋"/>
          <w:b w:val="0"/>
          <w:sz w:val="28"/>
        </w:rPr>
        <w:t>WBTC是一种比特币的代币化表示形式，其设计目的在于追踪比特币的价值。与原生比特币不同，WBTC可以在其他区块链上的去中心化金融应用程序中使用，以便进行交易、借贷和抵押。根据CoinMarketCap网站提供的数据，WBTC目前的市值大约为七十四亿美元。</w:t>
      </w:r>
    </w:p>
    <w:p>
      <w:pPr>
        <w:pStyle w:val="正文内容"/>
        <w:spacing w:before="0" w:after="0" w:line="240" w:lineRule="auto"/>
        <w:ind w:left="0" w:right="0" w:firstLine="560"/>
        <w:jc w:val="both"/>
      </w:pPr>
      <w:r>
        <w:rPr>
          <w:rFonts w:ascii="Times New Roman" w:hAnsi="Times New Roman" w:cs="Times New Roman" w:eastAsia="仿宋"/>
          <w:b w:val="0"/>
          <w:sz w:val="28"/>
        </w:rPr>
        <w:t>将WBTC的市值计入此前公告中已经覆盖的七十二点四亿美元之后，这些项目将跨链基础设施迁移至CCIP的总资金额，大约达到了一百四十六亿美元。这一数字是由多起已经正式宣布的迁移行动逐步累加而得出的。</w:t>
      </w:r>
    </w:p>
    <w:p>
      <w:pPr>
        <w:pStyle w:val="正文内容"/>
        <w:spacing w:before="0" w:after="0" w:line="240" w:lineRule="auto"/>
        <w:ind w:left="0" w:right="0" w:firstLine="560"/>
        <w:jc w:val="both"/>
      </w:pPr>
      <w:r>
        <w:rPr>
          <w:rFonts w:ascii="Times New Roman" w:hAnsi="Times New Roman" w:cs="Times New Roman" w:eastAsia="仿宋"/>
          <w:b w:val="0"/>
          <w:sz w:val="28"/>
        </w:rPr>
        <w:t>BitGo明确表示，它将采用Chainlink的跨链代币标准来标准化WBTC的部署操作，并且对于未来发行的各类资产，将默认使用CCIP协议。这一结构设计使得BitGo能够继续保留对其代币合约的完全控制，同时还可以针对区块链之间的转账设置速率限制以及其他风险控制措施。</w:t>
      </w:r>
    </w:p>
    <w:p>
      <w:pPr>
        <w:pStyle w:val="正文内容"/>
        <w:spacing w:before="0" w:after="0" w:line="240" w:lineRule="auto"/>
        <w:ind w:left="0" w:right="0" w:firstLine="560"/>
        <w:jc w:val="both"/>
      </w:pPr>
      <w:r>
        <w:rPr>
          <w:rFonts w:ascii="Times New Roman" w:hAnsi="Times New Roman" w:cs="Times New Roman" w:eastAsia="仿宋"/>
          <w:b w:val="0"/>
          <w:sz w:val="28"/>
        </w:rPr>
        <w:t>回顾历史，BitGo在二零二四年时就选择了LayerZero来推动WBTC在多个区块链上的扩展应用，最初阶段将其用于Avalanche和BNB Chain这两个网络上的部署。根据当时的配置要求，每一笔跨链转账都需要得到BitGo自己的验证器以及LayerZero或Polyhedra中一方的批准。</w:t>
      </w:r>
    </w:p>
    <w:p>
      <w:pPr>
        <w:pStyle w:val="正文内容"/>
        <w:spacing w:before="0" w:after="0" w:line="240" w:lineRule="auto"/>
        <w:ind w:left="0" w:right="0" w:firstLine="560"/>
        <w:jc w:val="both"/>
      </w:pPr>
      <w:r>
        <w:rPr>
          <w:rFonts w:ascii="Times New Roman" w:hAnsi="Times New Roman" w:cs="Times New Roman" w:eastAsia="仿宋"/>
          <w:b w:val="0"/>
          <w:sz w:val="28"/>
        </w:rPr>
        <w:t>目前，Chainlink的官方目录中已经列出了在以太坊和Ronin网络上启用CCIP功能的WBTC流动池。不过，该公告并未进一步具体说明这次更广泛的迁移工作究竟将于何时全面完成。</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原文标题：BitGo’s WBTC move pushes LayerZero-to-Chainlink tally near $15 billion</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原文链接：https://www.coindesk.com/business/2026/08/04/bitgo-s-wbtc-move-pushes-layerzero-to-chainlink-tally-near-usd15-billion</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spacing w:before="0" w:after="0" w:line="240" w:lineRule="auto"/>
        <w:ind w:left="0" w:right="0" w:firstLine="0"/>
        <w:jc w:val="center"/>
      </w:pPr>
      <w:r>
        <w:rPr>
          <w:rFonts w:ascii="Times New Roman" w:hAnsi="Times New Roman" w:cs="Times New Roman" w:eastAsia="黑体"/>
          <w:b w:val="0"/>
          <w:sz w:val="30"/>
        </w:rPr>
        <w:t>分析师称三星有望成为稳定币主导分销商</w:t>
      </w:r>
    </w:p>
    <w:p>
      <w:pPr>
        <w:spacing w:before="0" w:after="0" w:line="240" w:lineRule="auto"/>
        <w:ind w:left="0" w:right="0" w:firstLine="0"/>
        <w:jc w:val="both"/>
      </w:pPr>
      <w:r>
        <w:rPr>
          <w:rFonts w:ascii="Times New Roman" w:hAnsi="Times New Roman" w:cs="Times New Roman" w:eastAsia="仿宋"/>
          <w:b w:val="0"/>
          <w:sz w:val="28"/>
        </w:rPr>
        <w:t>· 三星在Galaxy Unpacked 2026活动上宣布，将通过Samsung Wallet为超过8亿部新智能手机默认提供稳定币功能，包括法币锚定的储蓄和支付账户。</w:t>
      </w:r>
    </w:p>
    <w:p>
      <w:pPr>
        <w:spacing w:before="0" w:after="0" w:line="240" w:lineRule="auto"/>
        <w:ind w:left="0" w:right="0" w:firstLine="0"/>
        <w:jc w:val="both"/>
      </w:pPr>
      <w:r>
        <w:rPr>
          <w:rFonts w:ascii="Times New Roman" w:hAnsi="Times New Roman" w:cs="Times New Roman" w:eastAsia="仿宋"/>
          <w:b w:val="0"/>
          <w:sz w:val="28"/>
        </w:rPr>
        <w:t>· 加密投资银行和咨询公司Areta亚太区总监Joseph Goh表示，三星将因此成为USDC等稳定币的主导分销商，因为“分发是稀缺资产，而三星拥有大量分发渠道”。</w:t>
      </w:r>
    </w:p>
    <w:p>
      <w:pPr>
        <w:spacing w:before="0" w:after="0" w:line="240" w:lineRule="auto"/>
        <w:ind w:left="0" w:right="0" w:firstLine="0"/>
        <w:jc w:val="both"/>
      </w:pPr>
      <w:r>
        <w:rPr>
          <w:rFonts w:ascii="Times New Roman" w:hAnsi="Times New Roman" w:cs="Times New Roman" w:eastAsia="仿宋"/>
          <w:b w:val="0"/>
          <w:sz w:val="28"/>
        </w:rPr>
        <w:t>· 三星三家关联公司5月同意以4.08亿美元收购Upbit运营商Dunamu 4%股份，三星SDS CEO称这是进入数字资产基础设施业务的战略投资。</w:t>
      </w:r>
    </w:p>
    <w:p>
      <w:pPr>
        <w:pStyle w:val="正文内容"/>
        <w:spacing w:before="0" w:after="0" w:line="240" w:lineRule="auto"/>
        <w:ind w:left="0" w:right="0" w:firstLine="560"/>
        <w:jc w:val="both"/>
      </w:pPr>
      <w:r>
        <w:rPr>
          <w:rFonts w:ascii="Times New Roman" w:hAnsi="Times New Roman" w:cs="Times New Roman" w:eastAsia="仿宋"/>
          <w:b w:val="0"/>
          <w:sz w:val="28"/>
        </w:rPr>
        <w:t>三星在Galaxy Unpacked 2026活动上概述了其Samsung Wallet扩展计划，称超过8亿部智能手机将默认提供稳定币（Stablecoin）功能，包括与法币挂钩的储蓄和支付账户。该公司未公布用户采用预期，也未透露已经使用其加密功能的用户数量。</w:t>
      </w:r>
    </w:p>
    <w:p>
      <w:pPr>
        <w:pStyle w:val="正文内容"/>
        <w:spacing w:before="0" w:after="0" w:line="240" w:lineRule="auto"/>
        <w:ind w:left="0" w:right="0" w:firstLine="560"/>
        <w:jc w:val="both"/>
      </w:pPr>
      <w:r>
        <w:rPr>
          <w:rFonts w:ascii="Times New Roman" w:hAnsi="Times New Roman" w:cs="Times New Roman" w:eastAsia="仿宋"/>
          <w:b w:val="0"/>
          <w:sz w:val="28"/>
        </w:rPr>
        <w:t>加密投资银行和咨询公司Areta亚太区总监Joseph Goh通过聊天消息对CoinDesk表示，由于这一战略举措，三星将成为USDC等稳定币的主导分销商。他说，阻碍更广泛采用的最重要问题之一是触达潜在新用户，“分发是稀缺资产，而三星拥有大量分发渠道。”</w:t>
      </w:r>
    </w:p>
    <w:p>
      <w:pPr>
        <w:pStyle w:val="正文内容"/>
        <w:spacing w:before="0" w:after="0" w:line="240" w:lineRule="auto"/>
        <w:ind w:left="0" w:right="0" w:firstLine="560"/>
        <w:jc w:val="both"/>
      </w:pPr>
      <w:r>
        <w:rPr>
          <w:rFonts w:ascii="Times New Roman" w:hAnsi="Times New Roman" w:cs="Times New Roman" w:eastAsia="仿宋"/>
          <w:b w:val="0"/>
          <w:sz w:val="28"/>
        </w:rPr>
        <w:t>Solstice首席执行官兼联合创始人Ben Nadareski认为，这对加密采用是积极发展，并同意Goh的观点，认为三星因此处于独特位置。“更宏观的画面是分销迎头赶上流动性，”他在Telegram对话中说，“多年来，加密货币在韩国等地有深度交易场所，但缺乏进入日常消费的路径。三星钱包则指向另一个方向：稳定币嵌入人们打开用于卡片和结账的中心。”</w:t>
      </w:r>
    </w:p>
    <w:p>
      <w:pPr>
        <w:pStyle w:val="正文内容"/>
        <w:spacing w:before="0" w:after="0" w:line="240" w:lineRule="auto"/>
        <w:ind w:left="0" w:right="0" w:firstLine="560"/>
        <w:jc w:val="both"/>
      </w:pPr>
      <w:r>
        <w:rPr>
          <w:rFonts w:ascii="Times New Roman" w:hAnsi="Times New Roman" w:cs="Times New Roman" w:eastAsia="仿宋"/>
          <w:b w:val="0"/>
          <w:sz w:val="28"/>
        </w:rPr>
        <w:t>三星是韩国最大的公司，涉足加密行业已有数年。2019年，它通过Knox推出数字资产钱包，Knox是一种硬件隔离保险库，支持指纹或PIN访问。该钱包支持存储和管理比特币（Bitcoin）、以太坊（Ethereum）和波场（TRON）等加密货币，并支持将Ledger的Nano S和Nano X等外部硬件钱包直接连接到Galaxy设备。</w:t>
      </w:r>
    </w:p>
    <w:p>
      <w:pPr>
        <w:pStyle w:val="正文内容"/>
        <w:spacing w:before="0" w:after="0" w:line="240" w:lineRule="auto"/>
        <w:ind w:left="0" w:right="0" w:firstLine="560"/>
        <w:jc w:val="both"/>
      </w:pPr>
      <w:r>
        <w:rPr>
          <w:rFonts w:ascii="Times New Roman" w:hAnsi="Times New Roman" w:cs="Times New Roman" w:eastAsia="仿宋"/>
          <w:b w:val="0"/>
          <w:sz w:val="28"/>
        </w:rPr>
        <w:t>三星产品经理Lee Dinham在活动上表示，三星将拥抱包括稳定币在内的新型数字价值。他说，Samsung Wallet在韩国已有近1900万用户，并在61个国家可用。“这将使三星成为首批在智能手机上提供原生稳定币的主要移动电话品牌之一，实现快速可靠的数字价值转移。”他还表示，通过这样做，Samsung Wallet将成为跨Galaxy设备和服务的互联金融生态系统的基础，将支付、奖励和数字资产整合为统一体验。</w:t>
      </w:r>
    </w:p>
    <w:p>
      <w:pPr>
        <w:pStyle w:val="正文内容"/>
        <w:spacing w:before="0" w:after="0" w:line="240" w:lineRule="auto"/>
        <w:ind w:left="0" w:right="0" w:firstLine="560"/>
        <w:jc w:val="both"/>
      </w:pPr>
      <w:r>
        <w:rPr>
          <w:rFonts w:ascii="Times New Roman" w:hAnsi="Times New Roman" w:cs="Times New Roman" w:eastAsia="仿宋"/>
          <w:b w:val="0"/>
          <w:sz w:val="28"/>
        </w:rPr>
        <w:t>如果计划落实，超过8亿用户将无需单独的加密应用或交易所账户，即可使用Galaxy的稳定币功能和其他加密货币。目前，全球已有超过10亿部活跃的三星智能手机。</w:t>
      </w:r>
    </w:p>
    <w:p>
      <w:pPr>
        <w:pStyle w:val="正文内容"/>
        <w:spacing w:before="0" w:after="0" w:line="240" w:lineRule="auto"/>
        <w:ind w:left="0" w:right="0" w:firstLine="560"/>
        <w:jc w:val="both"/>
      </w:pPr>
      <w:r>
        <w:rPr>
          <w:rFonts w:ascii="Times New Roman" w:hAnsi="Times New Roman" w:cs="Times New Roman" w:eastAsia="仿宋"/>
          <w:b w:val="0"/>
          <w:sz w:val="28"/>
        </w:rPr>
        <w:t>在基础设施方面，三星三家关联公司——三星证券、三星SDS和三星卡——5月同意以4.08亿美元收购Dunamu 4%股份，Dunamu运营着韩国最大加密货币交易所Upbit。三星SDS首席执行官Lee Jun-hee在上周第二季度财报电话会上表示，对Dunamu的持股是进入数字资产基础设施业务（包括稳定币和AI支付）的战略投资。Goh认为，钱包公告确保分发，SDS和Dunamu将确保其下的基础设施，“这是同一战略的另一半，从交易角度看是更说明问题的一半。”</w:t>
      </w:r>
    </w:p>
    <w:p>
      <w:pPr>
        <w:pStyle w:val="正文内容"/>
        <w:spacing w:before="0" w:after="0" w:line="240" w:lineRule="auto"/>
        <w:ind w:left="0" w:right="0" w:firstLine="560"/>
        <w:jc w:val="both"/>
      </w:pPr>
      <w:r>
        <w:rPr>
          <w:rFonts w:ascii="Times New Roman" w:hAnsi="Times New Roman" w:cs="Times New Roman" w:eastAsia="仿宋"/>
          <w:b w:val="0"/>
          <w:sz w:val="28"/>
        </w:rPr>
        <w:t>韩国于4月公布了《数字资产基本法》草案，将为数字资产（包括交易、托管、监督和稳定币发行）奠定基础，但目前仍无该法案获批或新规则实施的截止日期。Goh表示，三星的目标是构建自己的基础设施，而不是依赖第三方。“他们的目标是（在韩国框架仍在讨论之际）同时布局美元和韩元稳定币。时机是刻意为之的。”</w:t>
      </w:r>
    </w:p>
    <w:p>
      <w:pPr>
        <w:pStyle w:val="正文内容"/>
        <w:spacing w:before="0" w:after="0" w:line="240" w:lineRule="auto"/>
        <w:ind w:left="0" w:right="0" w:firstLine="560"/>
        <w:jc w:val="both"/>
      </w:pPr>
      <w:r>
        <w:rPr>
          <w:rFonts w:ascii="Times New Roman" w:hAnsi="Times New Roman" w:cs="Times New Roman" w:eastAsia="仿宋"/>
          <w:b w:val="0"/>
          <w:sz w:val="28"/>
        </w:rPr>
        <w:t>Animoca Brands投资业务首席执行官Robby Yung表示，这对加密货币及其采用都是好消息，数字资产的分销范围越广越好。但他不确定这是否让三星相对于加密原生平台更具优势，“总体而言，我认为这对该行业是极好的消息。”Animoca Brands执行主席Yat Siu则认为，三星此举是功能集而非构建超级应用的尝试。这种整合可能让三星在服务加密用户方面比苹果和谷歌更有优势，但应用程序和商家需要让稳定币在日常消费中具有实用性。</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原文标题：Samsung is poised to become a dominant stablecoin distributor， analysts say</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原文链接：https://www.coindesk.com/business/2026/08/04/samsung-is-poised-to-become-a-dominant-stablecoin-distributor-analysts-say</w:t>
      </w:r>
    </w:p>
    <w:p/>
    <w:p>
      <w:pPr>
        <w:pStyle w:val="文章一级标题"/>
        <w:spacing w:before="0" w:after="0" w:line="240" w:lineRule="auto"/>
        <w:ind w:left="0" w:right="0" w:firstLine="0"/>
        <w:jc w:val="center"/>
      </w:pPr>
      <w:r>
        <w:rPr>
          <w:rFonts w:ascii="Times New Roman" w:hAnsi="Times New Roman" w:cs="Times New Roman" w:eastAsia="黑体"/>
          <w:b w:val="0"/>
          <w:sz w:val="30"/>
        </w:rPr>
        <w:t>意大利联合圣保罗银行二季度减持IBIT94%以太坊ETF持仓增至三倍</w:t>
      </w:r>
    </w:p>
    <w:p>
      <w:pPr>
        <w:spacing w:before="0" w:after="0" w:line="240" w:lineRule="auto"/>
        <w:ind w:left="0" w:right="0" w:firstLine="0"/>
        <w:jc w:val="both"/>
      </w:pPr>
      <w:r>
        <w:rPr>
          <w:rFonts w:ascii="Times New Roman" w:hAnsi="Times New Roman" w:cs="Times New Roman" w:eastAsia="仿宋"/>
          <w:b w:val="0"/>
          <w:sz w:val="28"/>
        </w:rPr>
        <w:t>· 意大利联合圣保罗银行在二季度将其IBIT持股削减94%，并几乎清空看涨期权，同时新增覆盖50万股IBIT的看跌期权。</w:t>
      </w:r>
    </w:p>
    <w:p>
      <w:pPr>
        <w:spacing w:before="0" w:after="0" w:line="240" w:lineRule="auto"/>
        <w:ind w:left="0" w:right="0" w:firstLine="0"/>
        <w:jc w:val="both"/>
      </w:pPr>
      <w:r>
        <w:rPr>
          <w:rFonts w:ascii="Times New Roman" w:hAnsi="Times New Roman" w:cs="Times New Roman" w:eastAsia="仿宋"/>
          <w:b w:val="0"/>
          <w:sz w:val="28"/>
        </w:rPr>
        <w:t>· 该行将贝莱德旗下iShares质押以太坊信托ETF（ETHB）持仓增至三倍，达349，600股，而比特币和以太坊当季分别下跌14%和25%。</w:t>
      </w:r>
    </w:p>
    <w:p>
      <w:pPr>
        <w:spacing w:before="0" w:after="0" w:line="240" w:lineRule="auto"/>
        <w:ind w:left="0" w:right="0" w:firstLine="0"/>
        <w:jc w:val="both"/>
      </w:pPr>
      <w:r>
        <w:rPr>
          <w:rFonts w:ascii="Times New Roman" w:hAnsi="Times New Roman" w:cs="Times New Roman" w:eastAsia="仿宋"/>
          <w:b w:val="0"/>
          <w:sz w:val="28"/>
        </w:rPr>
        <w:t>· 该行新建SpaceX（SPCX）头寸成为最大披露持仓，同时减持了Coinbase、Circle、Robinhood及特斯拉等股票。</w:t>
      </w:r>
    </w:p>
    <w:p>
      <w:pPr>
        <w:pStyle w:val="正文内容"/>
        <w:spacing w:before="0" w:after="0" w:line="240" w:lineRule="auto"/>
        <w:ind w:left="0" w:right="0" w:firstLine="560"/>
        <w:jc w:val="both"/>
      </w:pPr>
      <w:r>
        <w:rPr>
          <w:rFonts w:ascii="Times New Roman" w:hAnsi="Times New Roman" w:cs="Times New Roman" w:eastAsia="仿宋"/>
          <w:b w:val="0"/>
          <w:sz w:val="28"/>
        </w:rPr>
        <w:t>意大利银行巨头联合圣保罗银行（Intesa Sanpaolo，ISP）在第二季度大幅调整其加密货币持仓。该行将其持有的iShares比特币信托（iShares Bitcoin Trust，IBIT）ETF股份削减94%，由三个月前的646，809股降至40，723股，价值136万美元。同期，该行比特币（Bitcoin，BTC）ETF持仓总价值下降35%至6930万美元。</w:t>
      </w:r>
    </w:p>
    <w:p>
      <w:pPr>
        <w:pStyle w:val="正文内容"/>
        <w:spacing w:before="0" w:after="0" w:line="240" w:lineRule="auto"/>
        <w:ind w:left="0" w:right="0" w:firstLine="560"/>
        <w:jc w:val="both"/>
      </w:pPr>
      <w:r>
        <w:rPr>
          <w:rFonts w:ascii="Times New Roman" w:hAnsi="Times New Roman" w:cs="Times New Roman" w:eastAsia="仿宋"/>
          <w:b w:val="0"/>
          <w:sz w:val="28"/>
        </w:rPr>
        <w:t>此外，该行还清除了99%的看涨期权（赋予持有者在预定价格买入ETF股份的权利，但无义务），并新增了覆盖50万股IBIT的看跌期权（相应赋予卖出权利）。这些调整发生在比特币价格当季下跌14%的背景下，此前两个季度比特币均录得超过20%的跌幅。</w:t>
      </w:r>
    </w:p>
    <w:p>
      <w:pPr>
        <w:pStyle w:val="正文内容"/>
        <w:spacing w:before="0" w:after="0" w:line="240" w:lineRule="auto"/>
        <w:ind w:left="0" w:right="0" w:firstLine="560"/>
        <w:jc w:val="both"/>
      </w:pPr>
      <w:r>
        <w:rPr>
          <w:rFonts w:ascii="Times New Roman" w:hAnsi="Times New Roman" w:cs="Times New Roman" w:eastAsia="仿宋"/>
          <w:b w:val="0"/>
          <w:sz w:val="28"/>
        </w:rPr>
        <w:t>美国现货比特币ETF在截至6月的三个月内录得约48.9亿美元净流出，其中IBIT一只基金就流失29.5亿美元，数据来自SoSoValue。以太坊（Ethereum，ETH）ETF同样遭遇超过7.15亿美元净流出。</w:t>
      </w:r>
    </w:p>
    <w:p>
      <w:pPr>
        <w:pStyle w:val="正文内容"/>
        <w:spacing w:before="0" w:after="0" w:line="240" w:lineRule="auto"/>
        <w:ind w:left="0" w:right="0" w:firstLine="560"/>
        <w:jc w:val="both"/>
      </w:pPr>
      <w:r>
        <w:rPr>
          <w:rFonts w:ascii="Times New Roman" w:hAnsi="Times New Roman" w:cs="Times New Roman" w:eastAsia="仿宋"/>
          <w:b w:val="0"/>
          <w:sz w:val="28"/>
        </w:rPr>
        <w:t>与减持比特币相反，该行增持了贝莱德（BlackRock）旗下的iShares质押以太坊信托ETF（iShares Staked Ethereum Trust ETF，ETHB），持股增至349，600股，季度末价值710万美元，上季度末为315万美元。以太坊价格当季下跌25%。</w:t>
      </w:r>
    </w:p>
    <w:p>
      <w:pPr>
        <w:pStyle w:val="正文内容"/>
        <w:spacing w:before="0" w:after="0" w:line="240" w:lineRule="auto"/>
        <w:ind w:left="0" w:right="0" w:firstLine="560"/>
        <w:jc w:val="both"/>
      </w:pPr>
      <w:r>
        <w:rPr>
          <w:rFonts w:ascii="Times New Roman" w:hAnsi="Times New Roman" w:cs="Times New Roman" w:eastAsia="仿宋"/>
          <w:b w:val="0"/>
          <w:sz w:val="28"/>
        </w:rPr>
        <w:t>在加密相关股票中，该行将近乎翻倍增持BitGo Holdings（BTGO）至323，000股，同时将Coinbase Global（COIN）的持股减持32%，将Circle Internet（CRCL）减持10%，将Robinhood Markets（HOOD）减持43%。</w:t>
      </w:r>
    </w:p>
    <w:p>
      <w:pPr>
        <w:pStyle w:val="正文内容"/>
        <w:spacing w:before="0" w:after="0" w:line="240" w:lineRule="auto"/>
        <w:ind w:left="0" w:right="0" w:firstLine="560"/>
        <w:jc w:val="both"/>
      </w:pPr>
      <w:r>
        <w:rPr>
          <w:rFonts w:ascii="Times New Roman" w:hAnsi="Times New Roman" w:cs="Times New Roman" w:eastAsia="仿宋"/>
          <w:b w:val="0"/>
          <w:sz w:val="28"/>
        </w:rPr>
        <w:t>最新文件还显示，该行新建了SpaceX（SPCX）566万股的头寸，价值9.6642亿美元，成为其最大披露持仓。SpaceX于6月12日上市，持有18，712枚比特币，价值11.8亿美元。该行还减持了特斯拉（Tesla，TSLA）92%。</w:t>
      </w:r>
    </w:p>
    <w:p>
      <w:pPr>
        <w:pStyle w:val="正文内容"/>
        <w:spacing w:before="0" w:after="0" w:line="240" w:lineRule="auto"/>
        <w:ind w:left="0" w:right="0" w:firstLine="560"/>
        <w:jc w:val="both"/>
      </w:pPr>
      <w:r>
        <w:rPr>
          <w:rFonts w:ascii="Times New Roman" w:hAnsi="Times New Roman" w:cs="Times New Roman" w:eastAsia="仿宋"/>
          <w:b w:val="0"/>
          <w:sz w:val="28"/>
        </w:rPr>
        <w:t>联合圣保罗银行是意大利市值第二大银行，总部位于都灵。该行于2025年1月首次直接购买比特币，以约100万欧元（120万美元）购入11枚BTC，首席执行官Carlo Messina将其描述为一次实验。</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原文标题：Intesa Sanpaolo slashed IBIT stake by 94% in 2Q， tripled ether ETF holding as crypto prices slumped</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原文链接：https://www.coindesk.com/business/2026/08/04/intesa-sanpaolo-slashed-ibit-stake-by-94-in-2q-tripled-ether-etf-holding-as-crypto-prices-slumped</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spacing w:before="0" w:after="0" w:line="240" w:lineRule="auto"/>
        <w:ind w:left="0" w:right="0" w:firstLine="0"/>
        <w:jc w:val="center"/>
      </w:pPr>
      <w:r>
        <w:rPr>
          <w:rFonts w:ascii="Times New Roman" w:hAnsi="Times New Roman" w:cs="Times New Roman" w:eastAsia="黑体"/>
          <w:b w:val="0"/>
          <w:sz w:val="30"/>
        </w:rPr>
        <w:t>Ledger称Coldcard漏洞事件显示比特币钱包安全必须适应AI</w:t>
      </w:r>
    </w:p>
    <w:p>
      <w:pPr>
        <w:spacing w:before="0" w:after="0" w:line="240" w:lineRule="auto"/>
        <w:ind w:left="0" w:right="0" w:firstLine="0"/>
        <w:jc w:val="both"/>
      </w:pPr>
      <w:r>
        <w:rPr>
          <w:rFonts w:ascii="Times New Roman" w:hAnsi="Times New Roman" w:cs="Times New Roman" w:eastAsia="仿宋"/>
          <w:b w:val="0"/>
          <w:sz w:val="28"/>
        </w:rPr>
        <w:t>· Ledger首席技术官Charles Guillemet表示，Coldcard漏洞事件暴露了某些硬件钱包在生成加密随机性方面的弱点，并提醒整个安全模型都取决于随机性。</w:t>
      </w:r>
    </w:p>
    <w:p>
      <w:pPr>
        <w:spacing w:before="0" w:after="0" w:line="240" w:lineRule="auto"/>
        <w:ind w:left="0" w:right="0" w:firstLine="0"/>
        <w:jc w:val="both"/>
      </w:pPr>
      <w:r>
        <w:rPr>
          <w:rFonts w:ascii="Times New Roman" w:hAnsi="Times New Roman" w:cs="Times New Roman" w:eastAsia="仿宋"/>
          <w:b w:val="0"/>
          <w:sz w:val="28"/>
        </w:rPr>
        <w:t>· Ledger称其自身设备未受影响，因为恢复短语来自认证安全元件中的硬件随机数生成器，不存在软件回退路径。</w:t>
      </w:r>
    </w:p>
    <w:p>
      <w:pPr>
        <w:spacing w:before="0" w:after="0" w:line="240" w:lineRule="auto"/>
        <w:ind w:left="0" w:right="0" w:firstLine="0"/>
        <w:jc w:val="both"/>
      </w:pPr>
      <w:r>
        <w:rPr>
          <w:rFonts w:ascii="Times New Roman" w:hAnsi="Times New Roman" w:cs="Times New Roman" w:eastAsia="仿宋"/>
          <w:b w:val="0"/>
          <w:sz w:val="28"/>
        </w:rPr>
        <w:t>· Guillemet指出，AI正以机器速度加速漏洞发现，开源不等于经过审查；防御必须同样来自安全设计、硬件和数学。</w:t>
      </w:r>
    </w:p>
    <w:p>
      <w:pPr>
        <w:pStyle w:val="正文内容"/>
        <w:spacing w:before="0" w:after="0" w:line="240" w:lineRule="auto"/>
        <w:ind w:left="0" w:right="0" w:firstLine="560"/>
        <w:jc w:val="both"/>
      </w:pPr>
      <w:r>
        <w:rPr>
          <w:rFonts w:ascii="Times New Roman" w:hAnsi="Times New Roman" w:cs="Times New Roman" w:eastAsia="仿宋"/>
          <w:b w:val="0"/>
          <w:sz w:val="28"/>
        </w:rPr>
        <w:t>硬件钱包制造商Ledger表示，近期Coldcard漏洞事件应作为加密货币行业的警示。Ledger首席技术官Charles Guillemet告诉Decrypt，该事件暴露了某些硬件加密钱包在生成加密随机性方面的弱点，也显示了人工智能如何同时重塑网络攻击与数字防御。Guillemet说：“我们把这视为一个严肃的提醒：硬件钱包的整个安全模型在随机性上生死攸关。密码学很难，安全地实现它更难。本周的Coldcard事件以最昂贵的方式让这一点变得可见。”</w:t>
      </w:r>
    </w:p>
    <w:p>
      <w:pPr>
        <w:pStyle w:val="正文内容"/>
        <w:spacing w:before="0" w:after="0" w:line="240" w:lineRule="auto"/>
        <w:ind w:left="0" w:right="0" w:firstLine="560"/>
        <w:jc w:val="both"/>
      </w:pPr>
      <w:r>
        <w:rPr>
          <w:rFonts w:ascii="Times New Roman" w:hAnsi="Times New Roman" w:cs="Times New Roman" w:eastAsia="仿宋"/>
          <w:b w:val="0"/>
          <w:sz w:val="28"/>
        </w:rPr>
        <w:t>事件起因于Coldcard制造商Coinkite上周披露的一个缺陷，该缺陷可追溯到2021年3月的一个固件版本。该漏洞使用软件回退而非设备硬件随机数生成器（hardware random number generator）来创建钱包恢复种子，使部分私钥可被猜测，攻击者由此窃取用户比特币。目前损失已约达1.3亿美元，其他盗窃案仍在调查中。周日，Coinkite发布了修补固件，并敦促受影响用户将资金转移到新生成的钱包。</w:t>
      </w:r>
    </w:p>
    <w:p>
      <w:pPr>
        <w:pStyle w:val="正文内容"/>
        <w:spacing w:before="0" w:after="0" w:line="240" w:lineRule="auto"/>
        <w:ind w:left="0" w:right="0" w:firstLine="560"/>
        <w:jc w:val="both"/>
      </w:pPr>
      <w:r>
        <w:rPr>
          <w:rFonts w:ascii="Times New Roman" w:hAnsi="Times New Roman" w:cs="Times New Roman" w:eastAsia="仿宋"/>
          <w:b w:val="0"/>
          <w:sz w:val="28"/>
        </w:rPr>
        <w:t>Ledger表示自身硬件钱包未受影响，因为其恢复短语的生成方式不同。Guillemet说：“Ledger硬件钱包从内置在认证安全元件（Secure Element）中的真正硬件随机数生成器提取根秘密（24字秘密恢复短语，Secret Recovery Phrase），没有软件回退路径。该生成器为每个种子产生完整的256位熵。”</w:t>
      </w:r>
    </w:p>
    <w:p>
      <w:pPr>
        <w:pStyle w:val="正文内容"/>
        <w:spacing w:before="0" w:after="0" w:line="240" w:lineRule="auto"/>
        <w:ind w:left="0" w:right="0" w:firstLine="560"/>
        <w:jc w:val="both"/>
      </w:pPr>
      <w:r>
        <w:rPr>
          <w:rFonts w:ascii="Times New Roman" w:hAnsi="Times New Roman" w:cs="Times New Roman" w:eastAsia="仿宋"/>
          <w:b w:val="0"/>
          <w:sz w:val="28"/>
        </w:rPr>
        <w:t>在Ledger看来，这一事件引发了关于硬件钱包安全性评估方式的更广泛问题。Guillemet直言：“开源和经过审查不是一回事。这个缺陷在公开代码中隐藏了五年多，直到据报道一名对手使用AI找到它，这提醒我们开放和经过审查是两回事。”</w:t>
      </w:r>
    </w:p>
    <w:p>
      <w:pPr>
        <w:pStyle w:val="正文内容"/>
        <w:spacing w:before="0" w:after="0" w:line="240" w:lineRule="auto"/>
        <w:ind w:left="0" w:right="0" w:firstLine="560"/>
        <w:jc w:val="both"/>
      </w:pPr>
      <w:r>
        <w:rPr>
          <w:rFonts w:ascii="Times New Roman" w:hAnsi="Times New Roman" w:cs="Times New Roman" w:eastAsia="仿宋"/>
          <w:b w:val="0"/>
          <w:sz w:val="28"/>
        </w:rPr>
        <w:t>Guillemet表示，AI正在改变网络安全，它让攻击者得以“以机器速度”扫描代码、搜索配置错误并识别漏洞。“这意味着防御必须以同样的速度移动，”他说，“它必须来自安全设计、硬件和数学。”5月，一名安全研究人员使用Claude Opus 4.8发现了一个存在四年的漏洞，该漏洞本可能导致Zcash无限铸造，引发大规模投资者恐慌，使Zcash单日下跌超过40%。</w:t>
      </w:r>
    </w:p>
    <w:p>
      <w:pPr>
        <w:pStyle w:val="正文内容"/>
        <w:spacing w:before="0" w:after="0" w:line="240" w:lineRule="auto"/>
        <w:ind w:left="0" w:right="0" w:firstLine="560"/>
        <w:jc w:val="both"/>
      </w:pPr>
      <w:r>
        <w:rPr>
          <w:rFonts w:ascii="Times New Roman" w:hAnsi="Times New Roman" w:cs="Times New Roman" w:eastAsia="仿宋"/>
          <w:b w:val="0"/>
          <w:sz w:val="28"/>
        </w:rPr>
        <w:t>据Guillemet介绍，Ledger在过去两年中一直将AI与人类安全工程师和密码学家结合，用于审查代码并在攻击者利用前识别漏洞。“我们也不只是依赖自己的说辞，”他说，“我们的Donjon研究实验室的存在，就是为了在其他人之前尝试破解我们的产品。”</w:t>
      </w:r>
    </w:p>
    <w:p>
      <w:pPr>
        <w:pStyle w:val="正文内容"/>
        <w:spacing w:before="0" w:after="0" w:line="240" w:lineRule="auto"/>
        <w:ind w:left="0" w:right="0" w:firstLine="560"/>
        <w:jc w:val="both"/>
      </w:pPr>
      <w:r>
        <w:rPr>
          <w:rFonts w:ascii="Times New Roman" w:hAnsi="Times New Roman" w:cs="Times New Roman" w:eastAsia="仿宋"/>
          <w:b w:val="0"/>
          <w:sz w:val="28"/>
        </w:rPr>
        <w:t>为了降低未来风险，Guillemet建议用户评估任何硬件钱包时，应了解其随机性生成方式以及该过程是否经过独立认证。“随机性必须来自物理，而不是公式，”他说，“它必须由那些以破解这一说法为工作的人来认证，而不是仅由供应商断言。”</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原文标题：Ledger Says Coldcard Exploit Shows Bitcoin Wallet Security Must Adapt to AI</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原文链接：https://decrypt.co/374914/ledger-coldcard-exploit-bitcoin-wallet-security-ai</w:t>
      </w:r>
    </w:p>
    <w:p/>
    <w:p>
      <w:pPr>
        <w:pStyle w:val="文章一级标题"/>
        <w:spacing w:before="0" w:after="0" w:line="240" w:lineRule="auto"/>
        <w:ind w:left="0" w:right="0" w:firstLine="0"/>
        <w:jc w:val="center"/>
      </w:pPr>
      <w:r>
        <w:rPr>
          <w:rFonts w:ascii="Times New Roman" w:hAnsi="Times New Roman" w:cs="Times New Roman" w:eastAsia="黑体"/>
          <w:b w:val="0"/>
          <w:sz w:val="30"/>
        </w:rPr>
        <w:t>Bernstein德州电网暂停审批对比特币矿工影响不大</w:t>
      </w:r>
    </w:p>
    <w:p>
      <w:pPr>
        <w:spacing w:before="0" w:after="0" w:line="240" w:lineRule="auto"/>
        <w:ind w:left="0" w:right="0" w:firstLine="0"/>
        <w:jc w:val="both"/>
      </w:pPr>
      <w:r>
        <w:rPr>
          <w:rFonts w:ascii="Times New Roman" w:hAnsi="Times New Roman" w:cs="Times New Roman" w:eastAsia="仿宋"/>
          <w:b w:val="0"/>
          <w:sz w:val="28"/>
        </w:rPr>
        <w:t>· Bernstein分析师周二表示，德克萨斯州州长Greg Abbott宣布的暂停数据中心审批不会对比特币矿工产生重大影响，因为多数矿工已签订已批准的电力容量合同。</w:t>
      </w:r>
    </w:p>
    <w:p>
      <w:pPr>
        <w:spacing w:before="0" w:after="0" w:line="240" w:lineRule="auto"/>
        <w:ind w:left="0" w:right="0" w:firstLine="0"/>
        <w:jc w:val="both"/>
      </w:pPr>
      <w:r>
        <w:rPr>
          <w:rFonts w:ascii="Times New Roman" w:hAnsi="Times New Roman" w:cs="Times New Roman" w:eastAsia="仿宋"/>
          <w:b w:val="0"/>
          <w:sz w:val="28"/>
        </w:rPr>
        <w:t>· 分析师认为，这次审计将抑制投机性的数据中心管道，并使已获批的兆瓦（MW）电力更有价值。</w:t>
      </w:r>
    </w:p>
    <w:p>
      <w:pPr>
        <w:spacing w:before="0" w:after="0" w:line="240" w:lineRule="auto"/>
        <w:ind w:left="0" w:right="0" w:firstLine="0"/>
        <w:jc w:val="both"/>
      </w:pPr>
      <w:r>
        <w:rPr>
          <w:rFonts w:ascii="Times New Roman" w:hAnsi="Times New Roman" w:cs="Times New Roman" w:eastAsia="仿宋"/>
          <w:b w:val="0"/>
          <w:sz w:val="28"/>
        </w:rPr>
        <w:t>· 分析师指出，Cipher Digital、Core Scientific和CleanSpark的当地运营可能最易受公众反对影响，而IREN和Riot Platforms已完全获批。</w:t>
      </w:r>
    </w:p>
    <w:p>
      <w:pPr>
        <w:pStyle w:val="正文内容"/>
        <w:spacing w:before="0" w:after="0" w:line="240" w:lineRule="auto"/>
        <w:ind w:left="0" w:right="0" w:firstLine="560"/>
        <w:jc w:val="both"/>
      </w:pPr>
      <w:r>
        <w:rPr>
          <w:rFonts w:ascii="Times New Roman" w:hAnsi="Times New Roman" w:cs="Times New Roman" w:eastAsia="仿宋"/>
          <w:b w:val="0"/>
          <w:sz w:val="28"/>
        </w:rPr>
        <w:t>德克萨斯州州长Greg Abbott周一指示德克萨斯州公共事业委员会和德克萨斯州电力可靠性委员会（Electric Reliability Council of Texas，ERCOT）审计所有寻求接入该州电网的数据中心。该审计的持续时间未明确，且正值全州对数据中心建设速度的公众反弹日益加剧之际。据《德克萨斯论坛报》报道。</w:t>
      </w:r>
    </w:p>
    <w:p>
      <w:pPr>
        <w:pStyle w:val="正文内容"/>
        <w:spacing w:before="0" w:after="0" w:line="240" w:lineRule="auto"/>
        <w:ind w:left="0" w:right="0" w:firstLine="560"/>
        <w:jc w:val="both"/>
      </w:pPr>
      <w:r>
        <w:rPr>
          <w:rFonts w:ascii="Times New Roman" w:hAnsi="Times New Roman" w:cs="Times New Roman" w:eastAsia="仿宋"/>
          <w:b w:val="0"/>
          <w:sz w:val="28"/>
        </w:rPr>
        <w:t>Bernstein分析师周二向客户表示，由于在德克萨斯州运营的大多数比特币（Bitcoin，BTC）矿工已签订已批准的电力容量合同，这些运营不太可能受到暂停令的影响。该研究团队由Gautam Chhugani领导。</w:t>
      </w:r>
    </w:p>
    <w:p>
      <w:pPr>
        <w:pStyle w:val="正文内容"/>
        <w:spacing w:before="0" w:after="0" w:line="240" w:lineRule="auto"/>
        <w:ind w:left="0" w:right="0" w:firstLine="560"/>
        <w:jc w:val="both"/>
      </w:pPr>
      <w:r>
        <w:rPr>
          <w:rFonts w:ascii="Times New Roman" w:hAnsi="Times New Roman" w:cs="Times New Roman" w:eastAsia="仿宋"/>
          <w:b w:val="0"/>
          <w:sz w:val="28"/>
        </w:rPr>
        <w:t>他们在报告中称：“然而，我们认为，这次审计会抑制投机性的数据中心管道，并使具有开发历史的真实站点更有价值。”分析师还称：“比特币矿场在筹备期最长、自筹基础设施和本地社区管理方面处于有利位置。”</w:t>
      </w:r>
    </w:p>
    <w:p>
      <w:pPr>
        <w:pStyle w:val="正文内容"/>
        <w:spacing w:before="0" w:after="0" w:line="240" w:lineRule="auto"/>
        <w:ind w:left="0" w:right="0" w:firstLine="560"/>
        <w:jc w:val="both"/>
      </w:pPr>
      <w:r>
        <w:rPr>
          <w:rFonts w:ascii="Times New Roman" w:hAnsi="Times New Roman" w:cs="Times New Roman" w:eastAsia="仿宋"/>
          <w:b w:val="0"/>
          <w:sz w:val="28"/>
        </w:rPr>
        <w:t>他们指出，Cipher Digital（CIFR）、Core Scientific（CORZ）和CleanSpark（CLSK）的当地运营可能最容易受到未来公众反对数据中心扩张的影响，尤其是在ERCOT批准将其管道资产转换为并网电力容量的过程中。</w:t>
      </w:r>
    </w:p>
    <w:p>
      <w:pPr>
        <w:pStyle w:val="正文内容"/>
        <w:spacing w:before="0" w:after="0" w:line="240" w:lineRule="auto"/>
        <w:ind w:left="0" w:right="0" w:firstLine="560"/>
        <w:jc w:val="both"/>
      </w:pPr>
      <w:r>
        <w:rPr>
          <w:rFonts w:ascii="Times New Roman" w:hAnsi="Times New Roman" w:cs="Times New Roman" w:eastAsia="仿宋"/>
          <w:b w:val="0"/>
          <w:sz w:val="28"/>
        </w:rPr>
        <w:t>分析师写道：“我们认为，随着对新数据中心项目的政治反对日益增多，以及新增容量被暂停令/州指令抑制，已获批的兆瓦（MW）电力变得更加有价值。”他们特别强调了IREN（IREN）在德克萨斯州的运营已完全获得ERCOT电网批准，Riot Platforms（RIOT）的运营也是如此。</w:t>
      </w:r>
    </w:p>
    <w:p>
      <w:pPr>
        <w:pStyle w:val="正文内容"/>
        <w:spacing w:before="0" w:after="0" w:line="240" w:lineRule="auto"/>
        <w:ind w:left="0" w:right="0" w:firstLine="560"/>
        <w:jc w:val="both"/>
      </w:pPr>
      <w:r>
        <w:rPr>
          <w:rFonts w:ascii="Times New Roman" w:hAnsi="Times New Roman" w:cs="Times New Roman" w:eastAsia="仿宋"/>
          <w:b w:val="0"/>
          <w:sz w:val="28"/>
        </w:rPr>
        <w:t>另据雅虎财经数据，CIFR股价在周二盘前交易中下跌超过7%，而该公司当日稍早公布的业绩显示，其第二季度每股摊薄亏损为0.65美元，较上年同期的0.12美元亏损有所扩大。</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原文标题：Texas electric grid moratorium won’t have big impact on BTC miners： Bernstein</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原文链接：https://cointelegraph.com/news/texas-electric-grid-moratorim-btc-miners-bernstein</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2026-07-29 12:48 至 2026-08-05 12:48（北京时间，最近7天）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