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ind w:firstLine="0"/>
      </w:pPr>
      <w:r>
        <w:rPr>
          <w:rFonts w:ascii="Times New Roman" w:hAnsi="Times New Roman" w:cs="Times New Roman" w:eastAsia="黑体"/>
          <w:b w:val="0"/>
          <w:color w:val="0066FF"/>
          <w:sz w:val="32"/>
        </w:rPr>
        <w:t>【政策风向】</w:t>
      </w:r>
    </w:p>
    <w:p>
      <w:pPr>
        <w:pStyle w:val="ListParagraph"/>
        <w:spacing w:line="360" w:lineRule="auto"/>
        <w:ind w:left="0" w:firstLine="0"/>
      </w:pPr>
      <w:r>
        <w:rPr>
          <w:rFonts w:ascii="Times New Roman" w:hAnsi="Times New Roman" w:cs="Times New Roman" w:eastAsia="楷体"/>
          <w:b w:val="0"/>
          <w:sz w:val="28"/>
        </w:rPr>
        <w:t>· SEC主席阿特金斯宣布反创新时代结束并承诺加密监管清晰度</w:t>
      </w:r>
    </w:p>
    <w:p>
      <w:pPr>
        <w:pStyle w:val="ListParagraph"/>
        <w:spacing w:line="360" w:lineRule="auto"/>
        <w:ind w:left="0" w:firstLine="0"/>
      </w:pPr>
      <w:r>
        <w:rPr>
          <w:rFonts w:ascii="Times New Roman" w:hAnsi="Times New Roman" w:cs="Times New Roman" w:eastAsia="楷体"/>
          <w:b w:val="0"/>
          <w:sz w:val="28"/>
        </w:rPr>
        <w:t>· 香港数字资产政策与实践之间存在差距</w:t>
      </w:r>
    </w:p>
    <w:p>
      <w:pPr>
        <w:pStyle w:val="ListParagraph"/>
        <w:spacing w:line="360" w:lineRule="auto"/>
        <w:ind w:left="0" w:firstLine="0"/>
      </w:pPr>
      <w:r>
        <w:rPr>
          <w:rFonts w:ascii="Times New Roman" w:hAnsi="Times New Roman" w:cs="Times New Roman" w:eastAsia="楷体"/>
          <w:b w:val="0"/>
          <w:sz w:val="28"/>
        </w:rPr>
        <w:t>· 意大利BancaSella获MiCA批准成为首家加密服务银行</w:t>
      </w:r>
    </w:p>
    <w:p>
      <w:pPr>
        <w:ind w:firstLine="0"/>
      </w:pPr>
      <w:r>
        <w:rPr>
          <w:rFonts w:ascii="Times New Roman" w:hAnsi="Times New Roman" w:cs="Times New Roman" w:eastAsia="黑体"/>
          <w:b w:val="0"/>
          <w:color w:val="0066FF"/>
          <w:sz w:val="32"/>
        </w:rPr>
        <w:t>【行业前沿】</w:t>
      </w:r>
    </w:p>
    <w:p>
      <w:pPr>
        <w:pStyle w:val="ListParagraph"/>
        <w:spacing w:line="360" w:lineRule="auto"/>
        <w:ind w:left="0" w:firstLine="0"/>
      </w:pPr>
      <w:r>
        <w:rPr>
          <w:rFonts w:ascii="Times New Roman" w:hAnsi="Times New Roman" w:cs="Times New Roman" w:eastAsia="楷体"/>
          <w:b w:val="0"/>
          <w:sz w:val="28"/>
        </w:rPr>
        <w:t>· 万事达卡获纽约BitLicense以构建受监管稳定币结算基础设施</w:t>
      </w:r>
    </w:p>
    <w:p>
      <w:pPr>
        <w:pStyle w:val="ListParagraph"/>
        <w:spacing w:line="360" w:lineRule="auto"/>
        <w:ind w:left="0" w:firstLine="0"/>
      </w:pPr>
      <w:r>
        <w:rPr>
          <w:rFonts w:ascii="Times New Roman" w:hAnsi="Times New Roman" w:cs="Times New Roman" w:eastAsia="楷体"/>
          <w:b w:val="0"/>
          <w:sz w:val="28"/>
        </w:rPr>
        <w:t>· DTCC与Stellar合作推进机构级代币化证券网络</w:t>
      </w:r>
    </w:p>
    <w:p>
      <w:pPr>
        <w:ind w:firstLine="0"/>
      </w:pPr>
      <w:r>
        <w:rPr>
          <w:rFonts w:ascii="Times New Roman" w:hAnsi="Times New Roman" w:cs="Times New Roman" w:eastAsia="黑体"/>
          <w:b w:val="0"/>
          <w:color w:val="0066FF"/>
          <w:sz w:val="32"/>
        </w:rPr>
        <w:t>【市场动态】</w:t>
      </w:r>
    </w:p>
    <w:p>
      <w:pPr>
        <w:pStyle w:val="ListParagraph"/>
        <w:spacing w:line="360" w:lineRule="auto"/>
        <w:ind w:left="0" w:firstLine="0"/>
      </w:pPr>
      <w:r>
        <w:rPr>
          <w:rFonts w:ascii="Times New Roman" w:hAnsi="Times New Roman" w:cs="Times New Roman" w:eastAsia="楷体"/>
          <w:b w:val="0"/>
          <w:sz w:val="28"/>
        </w:rPr>
        <w:t>· 美国现货比特币ETF连续八日净流出累计达7.33亿美元</w:t>
      </w:r>
    </w:p>
    <w:p>
      <w:pPr>
        <w:pStyle w:val="ListParagraph"/>
        <w:spacing w:line="360" w:lineRule="auto"/>
        <w:ind w:left="0" w:firstLine="0"/>
      </w:pPr>
      <w:r>
        <w:rPr>
          <w:rFonts w:ascii="Times New Roman" w:hAnsi="Times New Roman" w:cs="Times New Roman" w:eastAsia="楷体"/>
          <w:b w:val="0"/>
          <w:sz w:val="28"/>
        </w:rPr>
        <w:t>· 比特币跌破7.3万美元美伊冲突致加密市场蒸发10亿美元</w:t>
      </w:r>
    </w:p>
    <w:p>
      <w:pPr>
        <w:ind w:firstLine="0"/>
      </w:pPr>
      <w:r>
        <w:rPr>
          <w:rFonts w:ascii="Times New Roman" w:hAnsi="Times New Roman" w:cs="Times New Roman" w:eastAsia="黑体"/>
          <w:b w:val="0"/>
          <w:color w:val="0066FF"/>
          <w:sz w:val="32"/>
        </w:rPr>
        <w:t>【意见领袖】</w:t>
      </w:r>
    </w:p>
    <w:p>
      <w:pPr>
        <w:pStyle w:val="ListParagraph"/>
        <w:spacing w:line="360" w:lineRule="auto"/>
        <w:ind w:left="0" w:firstLine="0"/>
      </w:pPr>
      <w:r>
        <w:rPr>
          <w:rFonts w:ascii="Times New Roman" w:hAnsi="Times New Roman" w:cs="Times New Roman" w:eastAsia="楷体"/>
          <w:b w:val="0"/>
          <w:sz w:val="28"/>
        </w:rPr>
        <w:t>· BitgetCEO认为比特币四年周期规律仍然有效</w:t>
      </w:r>
    </w:p>
    <w:p>
      <w:pPr>
        <w:pStyle w:val="ListParagraph"/>
        <w:spacing w:line="360" w:lineRule="auto"/>
        <w:ind w:left="0" w:firstLine="0"/>
      </w:pPr>
      <w:r>
        <w:rPr>
          <w:rFonts w:ascii="Times New Roman" w:hAnsi="Times New Roman" w:cs="Times New Roman" w:eastAsia="楷体"/>
          <w:b w:val="0"/>
          <w:sz w:val="28"/>
        </w:rPr>
        <w:t>· 基金经理警告比特币可能进一步下跌因1500亿美元国库操作临近</w:t>
      </w:r>
    </w:p>
    <w:p>
      <w:pPr>
        <w:ind w:firstLine="0"/>
      </w:pPr>
      <w:r>
        <w:rPr>
          <w:rFonts w:ascii="Times New Roman" w:hAnsi="Times New Roman" w:cs="Times New Roman" w:eastAsia="黑体"/>
          <w:b w:val="0"/>
          <w:color w:val="0066FF"/>
          <w:sz w:val="32"/>
        </w:rPr>
        <w:t>【专题研究】</w:t>
      </w:r>
    </w:p>
    <w:p>
      <w:pPr>
        <w:pStyle w:val="ListParagraph"/>
        <w:spacing w:line="360" w:lineRule="auto"/>
        <w:ind w:left="0" w:firstLine="0"/>
      </w:pPr>
      <w:r>
        <w:rPr>
          <w:rFonts w:ascii="Times New Roman" w:hAnsi="Times New Roman" w:cs="Times New Roman" w:eastAsia="楷体"/>
          <w:b w:val="0"/>
          <w:sz w:val="28"/>
        </w:rPr>
        <w:t>· 加密卡支付月交易额飙升至78亿美元稳定币成为主要驱动力</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jc w:val="center"/>
      </w:pPr>
      <w:r>
        <w:rPr>
          <w:rFonts w:ascii="Times New Roman" w:hAnsi="Times New Roman" w:cs="Times New Roman" w:eastAsia="黑体"/>
          <w:b w:val="0"/>
          <w:sz w:val="30"/>
        </w:rPr>
        <w:t>SEC主席阿特金斯宣布反创新时代结束并承诺加密监管清晰度</w:t>
      </w:r>
    </w:p>
    <w:p>
      <w:pPr>
        <w:ind w:firstLine="0" w:left="0"/>
      </w:pPr>
      <w:r>
        <w:rPr>
          <w:rFonts w:ascii="Times New Roman" w:hAnsi="Times New Roman" w:cs="Times New Roman" w:eastAsia="仿宋"/>
          <w:b w:val="0"/>
          <w:sz w:val="28"/>
        </w:rPr>
        <w:t>· SEC主席Mark T. Uyeda（此处应为Atkins，但候选原文为Atkins，故保留）表示反创新时代已经结束。</w:t>
      </w:r>
    </w:p>
    <w:p>
      <w:pPr>
        <w:ind w:firstLine="0" w:left="0"/>
      </w:pPr>
      <w:r>
        <w:rPr>
          <w:rFonts w:ascii="Times New Roman" w:hAnsi="Times New Roman" w:cs="Times New Roman" w:eastAsia="仿宋"/>
          <w:b w:val="0"/>
          <w:sz w:val="28"/>
        </w:rPr>
        <w:t>· Atkins承诺将为加密资产提供明确的监管框架。</w:t>
      </w:r>
    </w:p>
    <w:p>
      <w:pPr>
        <w:pStyle w:val="正文内容"/>
        <w:ind w:firstLine="562"/>
      </w:pPr>
      <w:r>
        <w:rPr>
          <w:rFonts w:ascii="Times New Roman" w:hAnsi="Times New Roman" w:cs="Times New Roman" w:eastAsia="仿宋"/>
          <w:b w:val="0"/>
          <w:sz w:val="28"/>
        </w:rPr>
        <w:t>美国证券交易委员会（SEC）主席Paul Atkins公开表态，称针对加密行业的反创新立场已成为过去，并誓言将推动制定清晰的数字资产监管规则。</w:t>
      </w:r>
    </w:p>
    <w:p>
      <w:pPr>
        <w:pStyle w:val="正文内容"/>
        <w:ind w:firstLine="562"/>
      </w:pPr>
      <w:r>
        <w:rPr>
          <w:rFonts w:ascii="Times New Roman" w:hAnsi="Times New Roman" w:cs="Times New Roman" w:eastAsia="仿宋"/>
          <w:b w:val="0"/>
          <w:sz w:val="28"/>
        </w:rPr>
        <w:t>美国证券交易委员会（SEC）主席Paul Atkins在2026年5月28日发表声明，明确表示针对加密资产的“反创新”监管时代已经终结。Atkins强调，SEC将转向支持创新的监管路径，为数字资产行业提供亟需的规则确定性。</w:t>
      </w:r>
    </w:p>
    <w:p>
      <w:pPr>
        <w:pStyle w:val="正文内容"/>
        <w:ind w:firstLine="562"/>
      </w:pPr>
      <w:r>
        <w:rPr>
          <w:rFonts w:ascii="Times New Roman" w:hAnsi="Times New Roman" w:cs="Times New Roman" w:eastAsia="仿宋"/>
          <w:b w:val="0"/>
          <w:sz w:val="28"/>
        </w:rPr>
        <w:t>Atkins指出，过去几年中，SEC的执法策略导致了市场不确定性，阻碍了美国在区块链领域的竞争力。他承诺将推动制定全面的监管框架，涵盖加密货币发行、交易和托管等环节，以平衡投资者保护与技术发展。</w:t>
      </w:r>
    </w:p>
    <w:p>
      <w:pPr>
        <w:pStyle w:val="正文内容"/>
        <w:ind w:firstLine="562"/>
      </w:pPr>
      <w:r>
        <w:rPr>
          <w:rFonts w:ascii="Times New Roman" w:hAnsi="Times New Roman" w:cs="Times New Roman" w:eastAsia="仿宋"/>
          <w:b w:val="0"/>
          <w:sz w:val="28"/>
        </w:rPr>
        <w:t>分析人士认为，Atkins的讲话标志着美国加密监管政策可能出现重大转向。此前，SEC在主席Gary Gensler领导下采取强硬执法路线，而Atkins的上任被视为行业友好信号。不过，具体规则制定仍需国会立法配合。</w:t>
      </w:r>
    </w:p>
    <w:p>
      <w:pPr>
        <w:pStyle w:val="信息来源"/>
        <w:spacing w:before="50" w:after="100"/>
        <w:jc w:val="right"/>
      </w:pPr>
      <w:r>
        <w:rPr>
          <w:rFonts w:ascii="Times New Roman" w:hAnsi="Times New Roman" w:cs="Times New Roman" w:eastAsia="仿宋"/>
          <w:b w:val="0"/>
          <w:sz w:val="21"/>
        </w:rPr>
        <w:t>（信息来源：Bitcoin World）</w:t>
      </w:r>
    </w:p>
    <w:p>
      <w:pPr>
        <w:pStyle w:val="正文内容"/>
        <w:ind w:firstLine="562"/>
      </w:pPr>
      <w:r>
        <w:rPr>
          <w:rFonts w:ascii="Times New Roman" w:hAnsi="Times New Roman" w:cs="Times New Roman" w:eastAsia="仿宋"/>
          <w:b w:val="0"/>
          <w:sz w:val="28"/>
        </w:rPr>
        <w:t>原文标题：SEC Chair Atkins Declares Anti-Innovation Era Over, Vows Crypto Regulatory Clarity</w:t>
      </w:r>
    </w:p>
    <w:p>
      <w:pPr>
        <w:pStyle w:val="正文内容"/>
        <w:ind w:firstLine="562"/>
      </w:pPr>
      <w:r>
        <w:rPr>
          <w:rFonts w:ascii="Times New Roman" w:hAnsi="Times New Roman" w:cs="Times New Roman" w:eastAsia="仿宋"/>
          <w:b w:val="0"/>
          <w:sz w:val="28"/>
        </w:rPr>
        <w:t>原文链接：https://news.google.com/rss/articles/CBMia0FVX3lxTE8xV1ZlajZqX2RENnBOQ0VvVGpuU2xWeHBueEdZdXVKeHBwSElzM1d1UEVCZFhDVkpQaHNkX3RTa2VwUDdSOHlIVnJjSE9XRk55c2l3bGtsTnVoSzVwUVdNeXFsY3BJc3FNMTZn</w:t>
      </w:r>
    </w:p>
    <w:p/>
    <w:p>
      <w:pPr>
        <w:pStyle w:val="文章一级标题"/>
        <w:jc w:val="center"/>
      </w:pPr>
      <w:r>
        <w:rPr>
          <w:rFonts w:ascii="Times New Roman" w:hAnsi="Times New Roman" w:cs="Times New Roman" w:eastAsia="黑体"/>
          <w:b w:val="0"/>
          <w:sz w:val="30"/>
        </w:rPr>
        <w:t>香港数字资产政策与实践之间存在差距</w:t>
      </w:r>
    </w:p>
    <w:p>
      <w:pPr>
        <w:ind w:firstLine="0" w:left="0"/>
      </w:pPr>
      <w:r>
        <w:rPr>
          <w:rFonts w:ascii="Times New Roman" w:hAnsi="Times New Roman" w:cs="Times New Roman" w:eastAsia="仿宋"/>
          <w:b w:val="0"/>
          <w:sz w:val="28"/>
        </w:rPr>
        <w:t>· 香港数字资产政策框架已初步建立，但实际执行中存在落差。</w:t>
      </w:r>
    </w:p>
    <w:p>
      <w:pPr>
        <w:ind w:firstLine="0" w:left="0"/>
      </w:pPr>
      <w:r>
        <w:rPr>
          <w:rFonts w:ascii="Times New Roman" w:hAnsi="Times New Roman" w:cs="Times New Roman" w:eastAsia="仿宋"/>
          <w:b w:val="0"/>
          <w:sz w:val="28"/>
        </w:rPr>
        <w:t>· 行业参与者呼吁监管机构进一步明确细则并简化流程。</w:t>
      </w:r>
    </w:p>
    <w:p>
      <w:pPr>
        <w:pStyle w:val="正文内容"/>
        <w:ind w:firstLine="562"/>
      </w:pPr>
      <w:r>
        <w:rPr>
          <w:rFonts w:ascii="Times New Roman" w:hAnsi="Times New Roman" w:cs="Times New Roman" w:eastAsia="仿宋"/>
          <w:b w:val="0"/>
          <w:sz w:val="28"/>
        </w:rPr>
        <w:t>《南华早报》分析指出，香港虽已推出虚拟资产交易平台发牌制度等政策，但在实操层面仍面临合规成本高、跨境协调不足等挑战。</w:t>
      </w:r>
    </w:p>
    <w:p>
      <w:pPr>
        <w:pStyle w:val="正文内容"/>
        <w:ind w:firstLine="562"/>
      </w:pPr>
      <w:r>
        <w:rPr>
          <w:rFonts w:ascii="Times New Roman" w:hAnsi="Times New Roman" w:cs="Times New Roman" w:eastAsia="仿宋"/>
          <w:b w:val="0"/>
          <w:sz w:val="28"/>
        </w:rPr>
        <w:t>《南华早报》2026年5月28日发文称，香港致力于打造全球数字资产中心，其政策框架包括由证监会（SFC）实施的虚拟资产交易平台发牌制度以及金管局（HKMA）的稳定币监管沙盒。然而，实际执行中出现了政策与实践之间的明显差距。</w:t>
      </w:r>
    </w:p>
    <w:p>
      <w:pPr>
        <w:pStyle w:val="正文内容"/>
        <w:ind w:firstLine="562"/>
      </w:pPr>
      <w:r>
        <w:rPr>
          <w:rFonts w:ascii="Times New Roman" w:hAnsi="Times New Roman" w:cs="Times New Roman" w:eastAsia="仿宋"/>
          <w:b w:val="0"/>
          <w:sz w:val="28"/>
        </w:rPr>
        <w:t>报道援引业内人士观点指出，严格的合规要求导致部分小型企业难以负担，而跨境资金流动限制也阻碍了国际投资者参与。此外，针对去中心化金融（DeFi）和代币化资产的分类指引仍不明确，使得创新项目落地缓慢。</w:t>
      </w:r>
    </w:p>
    <w:p>
      <w:pPr>
        <w:pStyle w:val="正文内容"/>
        <w:ind w:firstLine="562"/>
      </w:pPr>
      <w:r>
        <w:rPr>
          <w:rFonts w:ascii="Times New Roman" w:hAnsi="Times New Roman" w:cs="Times New Roman" w:eastAsia="仿宋"/>
          <w:b w:val="0"/>
          <w:sz w:val="28"/>
        </w:rPr>
        <w:t>尽管如此，香港政府近期表示将检讨现有规则，并计划推出更多激励措施，包括税务优惠和人才引进计划，以弥补政策与实践间的鸿沟。市场观察人士认为，香港若能有效解决执行问题，仍有可能在亚洲数字资产竞争中占据领先地位。</w:t>
      </w:r>
    </w:p>
    <w:p>
      <w:pPr>
        <w:pStyle w:val="信息来源"/>
        <w:spacing w:before="50" w:after="100"/>
        <w:jc w:val="right"/>
      </w:pPr>
      <w:r>
        <w:rPr>
          <w:rFonts w:ascii="Times New Roman" w:hAnsi="Times New Roman" w:cs="Times New Roman" w:eastAsia="仿宋"/>
          <w:b w:val="0"/>
          <w:sz w:val="21"/>
        </w:rPr>
        <w:t>（信息来源：South China Morning Post）</w:t>
      </w:r>
    </w:p>
    <w:p>
      <w:pPr>
        <w:pStyle w:val="正文内容"/>
        <w:ind w:firstLine="562"/>
      </w:pPr>
      <w:r>
        <w:rPr>
          <w:rFonts w:ascii="Times New Roman" w:hAnsi="Times New Roman" w:cs="Times New Roman" w:eastAsia="仿宋"/>
          <w:b w:val="0"/>
          <w:sz w:val="28"/>
        </w:rPr>
        <w:t>原文标题：Mind the gap between Hong Kong digital asset policy and practice</w:t>
      </w:r>
    </w:p>
    <w:p>
      <w:pPr>
        <w:pStyle w:val="正文内容"/>
        <w:ind w:firstLine="562"/>
      </w:pPr>
      <w:r>
        <w:rPr>
          <w:rFonts w:ascii="Times New Roman" w:hAnsi="Times New Roman" w:cs="Times New Roman" w:eastAsia="仿宋"/>
          <w:b w:val="0"/>
          <w:sz w:val="28"/>
        </w:rPr>
        <w:t>原文链接：https://news.google.com/rss/articles/CBMi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XamJSdHR1TWtjdFVoc3ExbWx4UQ</w:t>
      </w:r>
    </w:p>
    <w:p/>
    <w:p>
      <w:pPr>
        <w:pStyle w:val="文章一级标题"/>
        <w:jc w:val="center"/>
      </w:pPr>
      <w:r>
        <w:rPr>
          <w:rFonts w:ascii="Times New Roman" w:hAnsi="Times New Roman" w:cs="Times New Roman" w:eastAsia="黑体"/>
          <w:b w:val="0"/>
          <w:sz w:val="30"/>
        </w:rPr>
        <w:t>意大利BancaSella获MiCA批准成为首家加密服务银行</w:t>
      </w:r>
    </w:p>
    <w:p>
      <w:pPr>
        <w:ind w:firstLine="0" w:left="0"/>
      </w:pPr>
      <w:r>
        <w:rPr>
          <w:rFonts w:ascii="Times New Roman" w:hAnsi="Times New Roman" w:cs="Times New Roman" w:eastAsia="仿宋"/>
          <w:b w:val="0"/>
          <w:sz w:val="28"/>
        </w:rPr>
        <w:t>· Banca Sella获得MiCA许可，可在意大利提供加密资产托管、交易和转账服务。</w:t>
      </w:r>
    </w:p>
    <w:p>
      <w:pPr>
        <w:ind w:firstLine="0" w:left="0"/>
      </w:pPr>
      <w:r>
        <w:rPr>
          <w:rFonts w:ascii="Times New Roman" w:hAnsi="Times New Roman" w:cs="Times New Roman" w:eastAsia="仿宋"/>
          <w:b w:val="0"/>
          <w:sz w:val="28"/>
        </w:rPr>
        <w:t>· 这是意大利首家在欧盟《加密资产市场法规》框架下获批的银行。</w:t>
      </w:r>
    </w:p>
    <w:p>
      <w:pPr>
        <w:pStyle w:val="正文内容"/>
        <w:ind w:firstLine="562"/>
      </w:pPr>
      <w:r>
        <w:rPr>
          <w:rFonts w:ascii="Times New Roman" w:hAnsi="Times New Roman" w:cs="Times New Roman" w:eastAsia="仿宋"/>
          <w:b w:val="0"/>
          <w:sz w:val="28"/>
        </w:rPr>
        <w:t>意大利银行Banca Sella获得欧盟MiCA法规下的首批许可，正式获准向其客户提供加密资产服务，标志着欧洲传统银行进军数字资产领域的重要里程碑。</w:t>
      </w:r>
    </w:p>
    <w:p>
      <w:pPr>
        <w:pStyle w:val="正文内容"/>
        <w:ind w:firstLine="562"/>
      </w:pPr>
      <w:r>
        <w:rPr>
          <w:rFonts w:ascii="Times New Roman" w:hAnsi="Times New Roman" w:cs="Times New Roman" w:eastAsia="仿宋"/>
          <w:b w:val="0"/>
          <w:sz w:val="28"/>
        </w:rPr>
        <w:t>意大利银行Banca Sella于2026年5月28日宣布，已获得意大利央行根据欧盟《加密资产市场法规》（MiCA，Markets in Crypto-Assets Regulation）颁发的许可，成为该国首家获准提供加密资产服务的银行。该许可允许Banca Sella为其客户提供加密货币托管、买卖以及转账服务。</w:t>
      </w:r>
    </w:p>
    <w:p>
      <w:pPr>
        <w:pStyle w:val="正文内容"/>
        <w:ind w:firstLine="562"/>
      </w:pPr>
      <w:r>
        <w:rPr>
          <w:rFonts w:ascii="Times New Roman" w:hAnsi="Times New Roman" w:cs="Times New Roman" w:eastAsia="仿宋"/>
          <w:b w:val="0"/>
          <w:sz w:val="28"/>
        </w:rPr>
        <w:t>Banca Sella表示，其早在2022年就参与了意大利央行的分布式账本技术（DLT）试点项目，并且是支持稳定币项目Qivalis的37家欧洲银行之一。此次获批后，该银行计划逐步向零售和机构客户推出合规的加密产品。</w:t>
      </w:r>
    </w:p>
    <w:p>
      <w:pPr>
        <w:pStyle w:val="正文内容"/>
        <w:ind w:firstLine="562"/>
      </w:pPr>
      <w:r>
        <w:rPr>
          <w:rFonts w:ascii="Times New Roman" w:hAnsi="Times New Roman" w:cs="Times New Roman" w:eastAsia="仿宋"/>
          <w:b w:val="0"/>
          <w:sz w:val="28"/>
        </w:rPr>
        <w:t>MiCA是欧盟为加密资产统一监管而制定的法律框架，于2025年全面生效。Banca Sella的获批被视作MiCA落地实施的具体案例，为其他欧洲银行申请类似许可提供了参考。业内预计，随着MiCA的推进，更多传统金融机构将进入加密市场。</w:t>
      </w:r>
    </w:p>
    <w:p>
      <w:pPr>
        <w:pStyle w:val="信息来源"/>
        <w:spacing w:before="50" w:after="100"/>
        <w:jc w:val="right"/>
      </w:pPr>
      <w:r>
        <w:rPr>
          <w:rFonts w:ascii="Times New Roman" w:hAnsi="Times New Roman" w:cs="Times New Roman" w:eastAsia="仿宋"/>
          <w:b w:val="0"/>
          <w:sz w:val="21"/>
        </w:rPr>
        <w:t>（信息来源：cointelegraph.com）</w:t>
      </w:r>
    </w:p>
    <w:p>
      <w:pPr>
        <w:pStyle w:val="正文内容"/>
        <w:ind w:firstLine="562"/>
      </w:pPr>
      <w:r>
        <w:rPr>
          <w:rFonts w:ascii="Times New Roman" w:hAnsi="Times New Roman" w:cs="Times New Roman" w:eastAsia="仿宋"/>
          <w:b w:val="0"/>
          <w:sz w:val="28"/>
        </w:rPr>
        <w:t>原文标题：Italy’s Banca Sella Gets MiCA Approval for Crypto Services</w:t>
      </w:r>
    </w:p>
    <w:p>
      <w:pPr>
        <w:pStyle w:val="正文内容"/>
        <w:ind w:firstLine="562"/>
      </w:pPr>
      <w:r>
        <w:rPr>
          <w:rFonts w:ascii="Times New Roman" w:hAnsi="Times New Roman" w:cs="Times New Roman" w:eastAsia="仿宋"/>
          <w:b w:val="0"/>
          <w:sz w:val="28"/>
        </w:rPr>
        <w:t>原文链接：https://news.google.com/rss/articles/CBMihAFBVV95cUxOaHdkWGw4ZTgya0doeTV0NDRzdlRERVJXbEJPejFqRU16Z0h6dnFBazhBRGhQaTM1OGF4VE4wWjVhY2l2UjRrcWpjOXNGSTQ2TE5mSnNYWDlZY3dMSnZnZ3p3SGczYmFDdjRYcnQyRTA1OTNNTHpoeE54ejhNMkNSVE5VZWM</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jc w:val="center"/>
      </w:pPr>
      <w:r>
        <w:rPr>
          <w:rFonts w:ascii="Times New Roman" w:hAnsi="Times New Roman" w:cs="Times New Roman" w:eastAsia="黑体"/>
          <w:b w:val="0"/>
          <w:sz w:val="30"/>
        </w:rPr>
        <w:t>万事达卡获纽约BitLicense以构建受监管稳定币结算基础设施</w:t>
      </w:r>
    </w:p>
    <w:p>
      <w:pPr>
        <w:ind w:firstLine="0" w:left="0"/>
      </w:pPr>
      <w:r>
        <w:rPr>
          <w:rFonts w:ascii="Times New Roman" w:hAnsi="Times New Roman" w:cs="Times New Roman" w:eastAsia="仿宋"/>
          <w:b w:val="0"/>
          <w:sz w:val="28"/>
        </w:rPr>
        <w:t>· 万事达卡获得纽约州金融服务部颁发的BitLicense。</w:t>
      </w:r>
    </w:p>
    <w:p>
      <w:pPr>
        <w:ind w:firstLine="0" w:left="0"/>
      </w:pPr>
      <w:r>
        <w:rPr>
          <w:rFonts w:ascii="Times New Roman" w:hAnsi="Times New Roman" w:cs="Times New Roman" w:eastAsia="仿宋"/>
          <w:b w:val="0"/>
          <w:sz w:val="28"/>
        </w:rPr>
        <w:t>· 万事达卡计划利用该牌照开发稳定币和代币化存款的结算网络。</w:t>
      </w:r>
    </w:p>
    <w:p>
      <w:pPr>
        <w:pStyle w:val="正文内容"/>
        <w:ind w:firstLine="562"/>
      </w:pPr>
      <w:r>
        <w:rPr>
          <w:rFonts w:ascii="Times New Roman" w:hAnsi="Times New Roman" w:cs="Times New Roman" w:eastAsia="仿宋"/>
          <w:b w:val="0"/>
          <w:sz w:val="28"/>
        </w:rPr>
        <w:t>支付巨头万事达卡正式取得纽约BitLicense，将基于合规框架建设稳定币结算与代币化存款基础设施，推动传统支付与数字资产的融合。</w:t>
      </w:r>
    </w:p>
    <w:p>
      <w:pPr>
        <w:pStyle w:val="正文内容"/>
        <w:ind w:firstLine="562"/>
      </w:pPr>
      <w:r>
        <w:rPr>
          <w:rFonts w:ascii="Times New Roman" w:hAnsi="Times New Roman" w:cs="Times New Roman" w:eastAsia="仿宋"/>
          <w:b w:val="0"/>
          <w:sz w:val="28"/>
        </w:rPr>
        <w:t>万事达卡（Mastercard）于2026年5月28日宣布，已获得纽约州金融服务部（NYDFS）颁发的BitLicense。该牌照允许万事达卡在纽约州从事虚拟货币业务活动，为其稳定币和代币化存款计划铺平了道路。</w:t>
      </w:r>
    </w:p>
    <w:p>
      <w:pPr>
        <w:pStyle w:val="正文内容"/>
        <w:ind w:firstLine="562"/>
      </w:pPr>
      <w:r>
        <w:rPr>
          <w:rFonts w:ascii="Times New Roman" w:hAnsi="Times New Roman" w:cs="Times New Roman" w:eastAsia="仿宋"/>
          <w:b w:val="0"/>
          <w:sz w:val="28"/>
        </w:rPr>
        <w:t>万事达卡表示，将利用该牌照建设受监管的结算基础设施，支持稳定币的发行、兑换和转账，并探索代币化存款的应用场景。这一举措旨在将数字资产整合进其全球支付网络，为银行和商户提供合规的区块链解决方案。</w:t>
      </w:r>
    </w:p>
    <w:p>
      <w:pPr>
        <w:pStyle w:val="正文内容"/>
        <w:ind w:firstLine="562"/>
      </w:pPr>
      <w:r>
        <w:rPr>
          <w:rFonts w:ascii="Times New Roman" w:hAnsi="Times New Roman" w:cs="Times New Roman" w:eastAsia="仿宋"/>
          <w:b w:val="0"/>
          <w:sz w:val="28"/>
        </w:rPr>
        <w:t>业内分析认为，万事达卡获得BitLicense是传统金融巨头深度介入加密领域的最新信号。随着稳定币在跨境支付和链上结算中的使用日益增长，万事达卡的合规基础设施有望吸引更多机构用户，并推动行业标准化进程。</w:t>
      </w:r>
    </w:p>
    <w:p>
      <w:pPr>
        <w:pStyle w:val="信息来源"/>
        <w:spacing w:before="50" w:after="100"/>
        <w:jc w:val="right"/>
      </w:pPr>
      <w:r>
        <w:rPr>
          <w:rFonts w:ascii="Times New Roman" w:hAnsi="Times New Roman" w:cs="Times New Roman" w:eastAsia="仿宋"/>
          <w:b w:val="0"/>
          <w:sz w:val="21"/>
        </w:rPr>
        <w:t>（信息来源：FinanceFeeds）</w:t>
      </w:r>
    </w:p>
    <w:p>
      <w:pPr>
        <w:pStyle w:val="正文内容"/>
        <w:ind w:firstLine="562"/>
      </w:pPr>
      <w:r>
        <w:rPr>
          <w:rFonts w:ascii="Times New Roman" w:hAnsi="Times New Roman" w:cs="Times New Roman" w:eastAsia="仿宋"/>
          <w:b w:val="0"/>
          <w:sz w:val="28"/>
        </w:rPr>
        <w:t>原文标题：Mastercard Secures New York BitLicense to Build Regulated Stablecoin Settlement Infrastructure</w:t>
      </w:r>
    </w:p>
    <w:p>
      <w:pPr>
        <w:pStyle w:val="正文内容"/>
        <w:ind w:firstLine="562"/>
      </w:pPr>
      <w:r>
        <w:rPr>
          <w:rFonts w:ascii="Times New Roman" w:hAnsi="Times New Roman" w:cs="Times New Roman" w:eastAsia="仿宋"/>
          <w:b w:val="0"/>
          <w:sz w:val="28"/>
        </w:rPr>
        <w:t>原文链接：https://news.google.com/rss/articles/CBMivAFBVV95cUxQenZlYWNMUUNjVGEtQ1pEY09QUGlZdHVJYUx4NkMzc09hSWwyYlNQa2xOOU5ucUVDRkk5VTBkbmJPVnJtUGFZRXhzclQ1dUhndkozMVg0bTlMd2pPaFgtUjY4UV8xbkZvTnMzOXlpTVdfTjd2MUJwSnJLckFfcjZReWNneDZwcERYb0gyT1RCQk9FcnhPVHViRkRrcFE0QlItczJvLVZVT3FrZFZ1RlFDV3pMZzJrVFphcTlmUw</w:t>
      </w:r>
    </w:p>
    <w:p/>
    <w:p>
      <w:pPr>
        <w:pStyle w:val="文章一级标题"/>
        <w:jc w:val="center"/>
      </w:pPr>
      <w:r>
        <w:rPr>
          <w:rFonts w:ascii="Times New Roman" w:hAnsi="Times New Roman" w:cs="Times New Roman" w:eastAsia="黑体"/>
          <w:b w:val="0"/>
          <w:sz w:val="30"/>
        </w:rPr>
        <w:t>DTCC与Stellar合作推进机构级代币化证券网络</w:t>
      </w:r>
    </w:p>
    <w:p>
      <w:pPr>
        <w:ind w:firstLine="0" w:left="0"/>
      </w:pPr>
      <w:r>
        <w:rPr>
          <w:rFonts w:ascii="Times New Roman" w:hAnsi="Times New Roman" w:cs="Times New Roman" w:eastAsia="仿宋"/>
          <w:b w:val="0"/>
          <w:sz w:val="28"/>
        </w:rPr>
        <w:t>· 美国证券存管与清算公司DTCC选择Stellar区块链进行代币化证券试点。</w:t>
      </w:r>
    </w:p>
    <w:p>
      <w:pPr>
        <w:ind w:firstLine="0" w:left="0"/>
      </w:pPr>
      <w:r>
        <w:rPr>
          <w:rFonts w:ascii="Times New Roman" w:hAnsi="Times New Roman" w:cs="Times New Roman" w:eastAsia="仿宋"/>
          <w:b w:val="0"/>
          <w:sz w:val="28"/>
        </w:rPr>
        <w:t>· DTCC计划在2027年前将代币化股票、ETF和国债推向Stellar网络。</w:t>
      </w:r>
    </w:p>
    <w:p>
      <w:pPr>
        <w:pStyle w:val="正文内容"/>
        <w:ind w:firstLine="562"/>
      </w:pPr>
      <w:r>
        <w:rPr>
          <w:rFonts w:ascii="Times New Roman" w:hAnsi="Times New Roman" w:cs="Times New Roman" w:eastAsia="仿宋"/>
          <w:b w:val="0"/>
          <w:sz w:val="28"/>
        </w:rPr>
        <w:t>美国证券存托与清算公司DTCC宣布与Stellar区块链合作，旨在通过代币化技术提升机构资产结算效率，计划于2027年正式上线。</w:t>
      </w:r>
    </w:p>
    <w:p>
      <w:pPr>
        <w:pStyle w:val="正文内容"/>
        <w:ind w:firstLine="562"/>
      </w:pPr>
      <w:r>
        <w:rPr>
          <w:rFonts w:ascii="Times New Roman" w:hAnsi="Times New Roman" w:cs="Times New Roman" w:eastAsia="仿宋"/>
          <w:b w:val="0"/>
          <w:sz w:val="28"/>
        </w:rPr>
        <w:t>美国证券存管与清算公司（DTCC）于2026年5月28日宣布，将采用Stellar（XLM）区块链网络作为其代币化证券平台的基础设施。DTCC表示，此次合作是其多链战略的一部分，旨在为金融机构提供高效、透明的资产代币化服务。</w:t>
      </w:r>
    </w:p>
    <w:p>
      <w:pPr>
        <w:pStyle w:val="正文内容"/>
        <w:ind w:firstLine="562"/>
      </w:pPr>
      <w:r>
        <w:rPr>
          <w:rFonts w:ascii="Times New Roman" w:hAnsi="Times New Roman" w:cs="Times New Roman" w:eastAsia="仿宋"/>
          <w:b w:val="0"/>
          <w:sz w:val="28"/>
        </w:rPr>
        <w:t>根据计划，DTCC将在2027年前将代币化股票、交易所交易基金（ETF）和美国国债引入Stellar网络。该平台将利用Stellar的共识机制实现近乎实时的结算，降低传统清算流程的成本和复杂性。DTCC此前已进行过多项区块链试点，此次合作标志着其正式进入公共区块链领域。</w:t>
      </w:r>
    </w:p>
    <w:p>
      <w:pPr>
        <w:pStyle w:val="正文内容"/>
        <w:ind w:firstLine="562"/>
      </w:pPr>
      <w:r>
        <w:rPr>
          <w:rFonts w:ascii="Times New Roman" w:hAnsi="Times New Roman" w:cs="Times New Roman" w:eastAsia="仿宋"/>
          <w:b w:val="0"/>
          <w:sz w:val="28"/>
        </w:rPr>
        <w:t>分析师指出，DTCC作为华尔街核心基础设施，其代币化举措具有里程碑意义。通过连接公共区块链，DTCC有望打通传统金融与去中心化金融（DeFi）之间的壁垒，为机构投资者提供合规的代币化资产敞口。</w:t>
      </w:r>
    </w:p>
    <w:p>
      <w:pPr>
        <w:pStyle w:val="信息来源"/>
        <w:spacing w:before="50" w:after="100"/>
        <w:jc w:val="right"/>
      </w:pPr>
      <w:r>
        <w:rPr>
          <w:rFonts w:ascii="Times New Roman" w:hAnsi="Times New Roman" w:cs="Times New Roman" w:eastAsia="仿宋"/>
          <w:b w:val="0"/>
          <w:sz w:val="21"/>
        </w:rPr>
        <w:t>（信息来源：TronWeekly）</w:t>
      </w:r>
    </w:p>
    <w:p>
      <w:pPr>
        <w:pStyle w:val="正文内容"/>
        <w:ind w:firstLine="562"/>
      </w:pPr>
      <w:r>
        <w:rPr>
          <w:rFonts w:ascii="Times New Roman" w:hAnsi="Times New Roman" w:cs="Times New Roman" w:eastAsia="仿宋"/>
          <w:b w:val="0"/>
          <w:sz w:val="28"/>
        </w:rPr>
        <w:t>原文标题：DTCC Tokenization Targets Institutional Blockchain Adoption With Stellar Network</w:t>
      </w:r>
    </w:p>
    <w:p>
      <w:pPr>
        <w:pStyle w:val="正文内容"/>
        <w:ind w:firstLine="562"/>
      </w:pPr>
      <w:r>
        <w:rPr>
          <w:rFonts w:ascii="Times New Roman" w:hAnsi="Times New Roman" w:cs="Times New Roman" w:eastAsia="仿宋"/>
          <w:b w:val="0"/>
          <w:sz w:val="28"/>
        </w:rPr>
        <w:t>原文链接：https://news.google.com/rss/articles/CBMidkFVX3lxTFBuSnY5OWtCaHcyTWZES21Pb29LUFJhVGJHek1KZHUwV29rMGhpWWp6RFlxanVLSWZIUVVCSjdRdmYxdmk2ZC1RT1V2Wmk5dlN1bVZSMlo4NmxMV0tLYUVQTng2MDJiS0lqUGFtRExJU1EzWnBoTnc</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jc w:val="center"/>
      </w:pPr>
      <w:r>
        <w:rPr>
          <w:rFonts w:ascii="Times New Roman" w:hAnsi="Times New Roman" w:cs="Times New Roman" w:eastAsia="黑体"/>
          <w:b w:val="0"/>
          <w:sz w:val="30"/>
        </w:rPr>
        <w:t>美国现货比特币ETF连续八日净流出累计达7.33亿美元</w:t>
      </w:r>
    </w:p>
    <w:p>
      <w:pPr>
        <w:ind w:firstLine="0" w:left="0"/>
      </w:pPr>
      <w:r>
        <w:rPr>
          <w:rFonts w:ascii="Times New Roman" w:hAnsi="Times New Roman" w:cs="Times New Roman" w:eastAsia="仿宋"/>
          <w:b w:val="0"/>
          <w:sz w:val="28"/>
        </w:rPr>
        <w:t>· 美国现货比特币ETF连续8个交易日出现资金净流出。</w:t>
      </w:r>
    </w:p>
    <w:p>
      <w:pPr>
        <w:ind w:firstLine="0" w:left="0"/>
      </w:pPr>
      <w:r>
        <w:rPr>
          <w:rFonts w:ascii="Times New Roman" w:hAnsi="Times New Roman" w:cs="Times New Roman" w:eastAsia="仿宋"/>
          <w:b w:val="0"/>
          <w:sz w:val="28"/>
        </w:rPr>
        <w:t>· 截至5月28日，累计流出金额已达7.33亿美元。</w:t>
      </w:r>
    </w:p>
    <w:p>
      <w:pPr>
        <w:pStyle w:val="正文内容"/>
        <w:ind w:firstLine="562"/>
      </w:pPr>
      <w:r>
        <w:rPr>
          <w:rFonts w:ascii="Times New Roman" w:hAnsi="Times New Roman" w:cs="Times New Roman" w:eastAsia="仿宋"/>
          <w:b w:val="0"/>
          <w:sz w:val="28"/>
        </w:rPr>
        <w:t>美国现货比特币ETF延续了自5月以来的资金外流趋势，连续八个交易日净流出，累计撤资7.33亿美元，显示投资者对比特币短期前景趋于谨慎。</w:t>
      </w:r>
    </w:p>
    <w:p>
      <w:pPr>
        <w:pStyle w:val="正文内容"/>
        <w:ind w:firstLine="562"/>
      </w:pPr>
      <w:r>
        <w:rPr>
          <w:rFonts w:ascii="Times New Roman" w:hAnsi="Times New Roman" w:cs="Times New Roman" w:eastAsia="仿宋"/>
          <w:b w:val="0"/>
          <w:sz w:val="28"/>
        </w:rPr>
        <w:t>据Bitcoin World 2026年5月28日报道，美国现货比特币交易所交易基金（ETF）已连续八个交易日遭遇资金净流出，总流出金额达到7.33亿美元。这一趋势始于5月第三周，并在此后加速。</w:t>
      </w:r>
    </w:p>
    <w:p>
      <w:pPr>
        <w:pStyle w:val="正文内容"/>
        <w:ind w:firstLine="562"/>
      </w:pPr>
      <w:r>
        <w:rPr>
          <w:rFonts w:ascii="Times New Roman" w:hAnsi="Times New Roman" w:cs="Times New Roman" w:eastAsia="仿宋"/>
          <w:b w:val="0"/>
          <w:sz w:val="28"/>
        </w:rPr>
        <w:t>分析人士指出，资金外流可能与多重因素有关：美联储利率政策的不确定性、地缘政治紧张局势（如美国与伊朗的冲突）以及传统市场资金向人工智能等新兴板块转移。此外，比特币价格在同期从约80，000美元跌至73，000美元附近，进一步加剧了投资者的避险情绪。</w:t>
      </w:r>
    </w:p>
    <w:p>
      <w:pPr>
        <w:pStyle w:val="正文内容"/>
        <w:ind w:firstLine="562"/>
      </w:pPr>
      <w:r>
        <w:rPr>
          <w:rFonts w:ascii="Times New Roman" w:hAnsi="Times New Roman" w:cs="Times New Roman" w:eastAsia="仿宋"/>
          <w:b w:val="0"/>
          <w:sz w:val="28"/>
        </w:rPr>
        <w:t>值得注意的是，尽管资金持续流出，部分市场参与者认为这属于短期调整，并未改变比特币的长期基本面。但ETF的持续抛售仍对市场情绪造成压制。</w:t>
      </w:r>
    </w:p>
    <w:p>
      <w:pPr>
        <w:pStyle w:val="信息来源"/>
        <w:spacing w:before="50" w:after="100"/>
        <w:jc w:val="right"/>
      </w:pPr>
      <w:r>
        <w:rPr>
          <w:rFonts w:ascii="Times New Roman" w:hAnsi="Times New Roman" w:cs="Times New Roman" w:eastAsia="仿宋"/>
          <w:b w:val="0"/>
          <w:sz w:val="21"/>
        </w:rPr>
        <w:t>（信息来源：Bitcoin World）</w:t>
      </w:r>
    </w:p>
    <w:p>
      <w:pPr>
        <w:pStyle w:val="正文内容"/>
        <w:ind w:firstLine="562"/>
      </w:pPr>
      <w:r>
        <w:rPr>
          <w:rFonts w:ascii="Times New Roman" w:hAnsi="Times New Roman" w:cs="Times New Roman" w:eastAsia="仿宋"/>
          <w:b w:val="0"/>
          <w:sz w:val="28"/>
        </w:rPr>
        <w:t>原文标题：US Spot Bitcoin ETFs Extend Outflow Streak To Eight Days With $733 Million Exodus</w:t>
      </w:r>
    </w:p>
    <w:p>
      <w:pPr>
        <w:pStyle w:val="正文内容"/>
        <w:ind w:firstLine="562"/>
      </w:pPr>
      <w:r>
        <w:rPr>
          <w:rFonts w:ascii="Times New Roman" w:hAnsi="Times New Roman" w:cs="Times New Roman" w:eastAsia="仿宋"/>
          <w:b w:val="0"/>
          <w:sz w:val="28"/>
        </w:rPr>
        <w:t>原文链接：https://news.google.com/rss/articles/CBMickFVX3lxTE5OM0s1MUZNbXJKdEVCN1hSbjNNOEwyUkNYMUZOWW5ha2NLQTZqTF9hWFVNY0tmdjVEd25ycERCU3d4R0hUVzZRUFY3SF8tSm5mYkJqdkVlQ3NVMENWZjBoS1BhQ1NDdVQ1Y3NCQmRvckg2UQ</w:t>
      </w:r>
    </w:p>
    <w:p/>
    <w:p>
      <w:pPr>
        <w:pStyle w:val="文章一级标题"/>
        <w:jc w:val="center"/>
      </w:pPr>
      <w:r>
        <w:rPr>
          <w:rFonts w:ascii="Times New Roman" w:hAnsi="Times New Roman" w:cs="Times New Roman" w:eastAsia="黑体"/>
          <w:b w:val="0"/>
          <w:sz w:val="30"/>
        </w:rPr>
        <w:t>比特币跌破7.3万美元美伊冲突致加密市场蒸发10亿美元</w:t>
      </w:r>
    </w:p>
    <w:p>
      <w:pPr>
        <w:ind w:firstLine="0" w:left="0"/>
      </w:pPr>
      <w:r>
        <w:rPr>
          <w:rFonts w:ascii="Times New Roman" w:hAnsi="Times New Roman" w:cs="Times New Roman" w:eastAsia="仿宋"/>
          <w:b w:val="0"/>
          <w:sz w:val="28"/>
        </w:rPr>
        <w:t>· 比特币价格下跌3.89%至73，000美元以下，创五周新低。</w:t>
      </w:r>
    </w:p>
    <w:p>
      <w:pPr>
        <w:ind w:firstLine="0" w:left="0"/>
      </w:pPr>
      <w:r>
        <w:rPr>
          <w:rFonts w:ascii="Times New Roman" w:hAnsi="Times New Roman" w:cs="Times New Roman" w:eastAsia="仿宋"/>
          <w:b w:val="0"/>
          <w:sz w:val="28"/>
        </w:rPr>
        <w:t>· 美国对伊朗实施空袭导致加密市场总市值蒸发约10亿美元。</w:t>
      </w:r>
    </w:p>
    <w:p>
      <w:pPr>
        <w:pStyle w:val="正文内容"/>
        <w:ind w:firstLine="562"/>
      </w:pPr>
      <w:r>
        <w:rPr>
          <w:rFonts w:ascii="Times New Roman" w:hAnsi="Times New Roman" w:cs="Times New Roman" w:eastAsia="仿宋"/>
          <w:b w:val="0"/>
          <w:sz w:val="28"/>
        </w:rPr>
        <w:t>受美国对伊朗发动空袭的消息影响，比特币价格在2026年5月28日急挫至73，000美元下方，加密货币市场总市值单日损失约10亿美元。</w:t>
      </w:r>
    </w:p>
    <w:p>
      <w:pPr>
        <w:pStyle w:val="正文内容"/>
        <w:ind w:firstLine="562"/>
      </w:pPr>
      <w:r>
        <w:rPr>
          <w:rFonts w:ascii="Times New Roman" w:hAnsi="Times New Roman" w:cs="Times New Roman" w:eastAsia="仿宋"/>
          <w:b w:val="0"/>
          <w:sz w:val="28"/>
        </w:rPr>
        <w:t>据Moneycontrol.com报道，2026年5月28日，比特币价格大幅下跌3.89%，跌破73，000美元关口，为五周以来最低水平。此次下跌的导火索是美国对伊朗境内目标发动空袭，加剧了中东地缘政治紧张局势，引发风险资产全面抛售。</w:t>
      </w:r>
    </w:p>
    <w:p>
      <w:pPr>
        <w:pStyle w:val="正文内容"/>
        <w:ind w:firstLine="562"/>
      </w:pPr>
      <w:r>
        <w:rPr>
          <w:rFonts w:ascii="Times New Roman" w:hAnsi="Times New Roman" w:cs="Times New Roman" w:eastAsia="仿宋"/>
          <w:b w:val="0"/>
          <w:sz w:val="28"/>
        </w:rPr>
        <w:t>加密货币市场整体随之承压，总市值在24小时内缩水约10亿美元。除比特币外，以太坊（ETH）等主要加密货币也出现不同程度下跌。与此同时，美国现货比特币ETF的持续资金外流进一步放大了抛售压力。</w:t>
      </w:r>
    </w:p>
    <w:p>
      <w:pPr>
        <w:pStyle w:val="正文内容"/>
        <w:ind w:firstLine="562"/>
      </w:pPr>
      <w:r>
        <w:rPr>
          <w:rFonts w:ascii="Times New Roman" w:hAnsi="Times New Roman" w:cs="Times New Roman" w:eastAsia="仿宋"/>
          <w:b w:val="0"/>
          <w:sz w:val="28"/>
        </w:rPr>
        <w:t>市场分析师认为，地缘冲突短期内将继续压制风险偏好，比特币可能进一步测试70，000美元支撑位。不过，一些长期持有者视当前跌幅为买入机会，市场分歧明显。</w:t>
      </w:r>
    </w:p>
    <w:p>
      <w:pPr>
        <w:pStyle w:val="信息来源"/>
        <w:spacing w:before="50" w:after="100"/>
        <w:jc w:val="right"/>
      </w:pPr>
      <w:r>
        <w:rPr>
          <w:rFonts w:ascii="Times New Roman" w:hAnsi="Times New Roman" w:cs="Times New Roman" w:eastAsia="仿宋"/>
          <w:b w:val="0"/>
          <w:sz w:val="21"/>
        </w:rPr>
        <w:t>（信息来源：Moneycontrol.com）</w:t>
      </w:r>
    </w:p>
    <w:p>
      <w:pPr>
        <w:pStyle w:val="正文内容"/>
        <w:ind w:firstLine="562"/>
      </w:pPr>
      <w:r>
        <w:rPr>
          <w:rFonts w:ascii="Times New Roman" w:hAnsi="Times New Roman" w:cs="Times New Roman" w:eastAsia="仿宋"/>
          <w:b w:val="0"/>
          <w:sz w:val="28"/>
        </w:rPr>
        <w:t>原文标题：Bitcoin drops 3.89% below $73K as US-Iran tensions wipe out $1 billion from the crypto market</w:t>
      </w:r>
    </w:p>
    <w:p>
      <w:pPr>
        <w:pStyle w:val="正文内容"/>
        <w:ind w:firstLine="562"/>
      </w:pPr>
      <w:r>
        <w:rPr>
          <w:rFonts w:ascii="Times New Roman" w:hAnsi="Times New Roman" w:cs="Times New Roman" w:eastAsia="仿宋"/>
          <w:b w:val="0"/>
          <w:sz w:val="28"/>
        </w:rPr>
        <w:t>原文链接：https://news.google.com/rss/articles/CBMi_AFBVV95cUxOd29FeVdjRGtOV0djelZER0tLUnd1eDFFVVE3SklZTVBZN3l2ZVJOY1duUWNiNGhnUmtXczdsWk9iMFNqQVZ6eHE1dzZZbmpLVFdrNVhLeDUzVVZnQ0JBS090NWlLZmFKU2pmLTUwVlRRQUE5Rm5CeFNmQlgyQ1VLcnVleDQ2R2sxMS1aUVhhRGhEZUdOQkdRc0Z3dmlPVHBUVnk1a1pLNlc1bG1ab1dYMXNvWE10bHVKTDVXc1F0YzNKWGxiVzdUc1BPZlBSajlXMW41aFBZQy1JVF83LUtDZ2U4dmlSNkRKaHA0cjhBdG4yMnFxQ194TVY3SErSAfwBQVVfeXFMTndvRXlXY0RrTldHY3pWREdLS1J3dXgxRVVRN0pJWU1QWTd5dmVSTmNXblFjYjRoZ1JrV3M3bFpPYjBTakFWenhxNXc2WW5qS1RXazVYS3g</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jc w:val="center"/>
      </w:pPr>
      <w:r>
        <w:rPr>
          <w:rFonts w:ascii="Times New Roman" w:hAnsi="Times New Roman" w:cs="Times New Roman" w:eastAsia="黑体"/>
          <w:b w:val="0"/>
          <w:sz w:val="30"/>
        </w:rPr>
        <w:t>BitgetCEO认为比特币四年周期规律仍然有效</w:t>
      </w:r>
    </w:p>
    <w:p>
      <w:pPr>
        <w:ind w:firstLine="0" w:left="0"/>
      </w:pPr>
      <w:r>
        <w:rPr>
          <w:rFonts w:ascii="Times New Roman" w:hAnsi="Times New Roman" w:cs="Times New Roman" w:eastAsia="仿宋"/>
          <w:b w:val="0"/>
          <w:sz w:val="28"/>
        </w:rPr>
        <w:t>· Bitget CEO表示比特币的四年周期规律依然在发挥作用。</w:t>
      </w:r>
    </w:p>
    <w:p>
      <w:pPr>
        <w:ind w:firstLine="0" w:left="0"/>
      </w:pPr>
      <w:r>
        <w:rPr>
          <w:rFonts w:ascii="Times New Roman" w:hAnsi="Times New Roman" w:cs="Times New Roman" w:eastAsia="仿宋"/>
          <w:b w:val="0"/>
          <w:sz w:val="28"/>
        </w:rPr>
        <w:t>· 他基于历史数据预测比特币将在2026年下半年进入上升阶段。</w:t>
      </w:r>
    </w:p>
    <w:p>
      <w:pPr>
        <w:pStyle w:val="正文内容"/>
        <w:ind w:firstLine="562"/>
      </w:pPr>
      <w:r>
        <w:rPr>
          <w:rFonts w:ascii="Times New Roman" w:hAnsi="Times New Roman" w:cs="Times New Roman" w:eastAsia="仿宋"/>
          <w:b w:val="0"/>
          <w:sz w:val="28"/>
        </w:rPr>
        <w:t>加密货币交易所Bitget的首席执行官在采访中指出，尽管市场面临短期波动，但比特币传统的四年周期模式（减半周期）仍在延续，长期走势乐观。</w:t>
      </w:r>
    </w:p>
    <w:p>
      <w:pPr>
        <w:pStyle w:val="正文内容"/>
        <w:ind w:firstLine="562"/>
      </w:pPr>
      <w:r>
        <w:rPr>
          <w:rFonts w:ascii="Times New Roman" w:hAnsi="Times New Roman" w:cs="Times New Roman" w:eastAsia="仿宋"/>
          <w:b w:val="0"/>
          <w:sz w:val="28"/>
        </w:rPr>
        <w:t>加密货币交易所Bitget的首席执行官于2026年5月28日发表观点称，比特币的四年周期规律（减半周期）仍在有效运行。该CEO指出，回顾过去三次减半事件，比特币均在减半后12至18个月内进入显著牛市，当前周期并未偏离这一模式。</w:t>
      </w:r>
    </w:p>
    <w:p>
      <w:pPr>
        <w:pStyle w:val="正文内容"/>
        <w:ind w:firstLine="562"/>
      </w:pPr>
      <w:r>
        <w:rPr>
          <w:rFonts w:ascii="Times New Roman" w:hAnsi="Times New Roman" w:cs="Times New Roman" w:eastAsia="仿宋"/>
          <w:b w:val="0"/>
          <w:sz w:val="28"/>
        </w:rPr>
        <w:t>他承认地缘政治和宏观流动性收紧对短期价格构成压力，但认为这些都是周期性波动的一部分。他预测，比特币可能在2026年第四季度迎来新一轮上涨，目标价位取决于减半后的供应减少效应是否被市场充分消化。</w:t>
      </w:r>
    </w:p>
    <w:p>
      <w:pPr>
        <w:pStyle w:val="正文内容"/>
        <w:ind w:firstLine="562"/>
      </w:pPr>
      <w:r>
        <w:rPr>
          <w:rFonts w:ascii="Times New Roman" w:hAnsi="Times New Roman" w:cs="Times New Roman" w:eastAsia="仿宋"/>
          <w:b w:val="0"/>
          <w:sz w:val="28"/>
        </w:rPr>
        <w:t>不过，该CEO也提醒投资者注意风险，称监管环境变化和竞争链的崛起可能对周期产生影响。他建议投资者关注区块链技术的基本面发展，而非短期价格噪音。</w:t>
      </w:r>
    </w:p>
    <w:p>
      <w:pPr>
        <w:pStyle w:val="信息来源"/>
        <w:spacing w:before="50" w:after="100"/>
        <w:jc w:val="right"/>
      </w:pPr>
      <w:r>
        <w:rPr>
          <w:rFonts w:ascii="Times New Roman" w:hAnsi="Times New Roman" w:cs="Times New Roman" w:eastAsia="仿宋"/>
          <w:b w:val="0"/>
          <w:sz w:val="21"/>
        </w:rPr>
        <w:t>（信息来源：Bitget）</w:t>
      </w:r>
    </w:p>
    <w:p>
      <w:pPr>
        <w:pStyle w:val="正文内容"/>
        <w:ind w:firstLine="562"/>
      </w:pPr>
      <w:r>
        <w:rPr>
          <w:rFonts w:ascii="Times New Roman" w:hAnsi="Times New Roman" w:cs="Times New Roman" w:eastAsia="仿宋"/>
          <w:b w:val="0"/>
          <w:sz w:val="28"/>
        </w:rPr>
        <w:t>原文标题：Bitcoin's 4-Year Rhythm Is Still Playing Out, Says Crypto CEO</w:t>
      </w:r>
    </w:p>
    <w:p>
      <w:pPr>
        <w:pStyle w:val="正文内容"/>
        <w:ind w:firstLine="562"/>
      </w:pPr>
      <w:r>
        <w:rPr>
          <w:rFonts w:ascii="Times New Roman" w:hAnsi="Times New Roman" w:cs="Times New Roman" w:eastAsia="仿宋"/>
          <w:b w:val="0"/>
          <w:sz w:val="28"/>
        </w:rPr>
        <w:t>原文链接：https://news.google.com/rss/articles/CBMiY0FVX3lxTE5kXzVfLVQyaWhVRVNlM0RtdjZReU9RMFZWYWxxMFQ5VTJ0OEVXaUlxTlVzVFB1ZGp3eEdka1huWEVVNzI2QkN3MU5XRU5lSWEteGppSFpqV1FQU25iaEJINEZna9IBY0FVX3lxTE5kXzVfLVQyaWhVRVNlM0RtdjZReU9RMFZWYWxxMFQ5VTJ0OEVXaUlxTlVzVFB1ZGp3eEdka1huWEVVNzI2QkN3MU5XRU5lSWEteGppSFpqV1FQU25iaEJINEZnaw</w:t>
      </w:r>
    </w:p>
    <w:p/>
    <w:p>
      <w:pPr>
        <w:pStyle w:val="文章一级标题"/>
        <w:jc w:val="center"/>
      </w:pPr>
      <w:r>
        <w:rPr>
          <w:rFonts w:ascii="Times New Roman" w:hAnsi="Times New Roman" w:cs="Times New Roman" w:eastAsia="黑体"/>
          <w:b w:val="0"/>
          <w:sz w:val="30"/>
        </w:rPr>
        <w:t>基金经理警告比特币可能进一步下跌因1500亿美元国库操作临近</w:t>
      </w:r>
    </w:p>
    <w:p>
      <w:pPr>
        <w:ind w:firstLine="0" w:left="0"/>
      </w:pPr>
      <w:r>
        <w:rPr>
          <w:rFonts w:ascii="Times New Roman" w:hAnsi="Times New Roman" w:cs="Times New Roman" w:eastAsia="仿宋"/>
          <w:b w:val="0"/>
          <w:sz w:val="28"/>
        </w:rPr>
        <w:t>· 一位基金经理警告比特币可能面临更深跌幅。</w:t>
      </w:r>
    </w:p>
    <w:p>
      <w:pPr>
        <w:ind w:firstLine="0" w:left="0"/>
      </w:pPr>
      <w:r>
        <w:rPr>
          <w:rFonts w:ascii="Times New Roman" w:hAnsi="Times New Roman" w:cs="Times New Roman" w:eastAsia="仿宋"/>
          <w:b w:val="0"/>
          <w:sz w:val="28"/>
        </w:rPr>
        <w:t>· 即将到来的美国财政部操作预计将从市场抽走约1500亿美元流动性。</w:t>
      </w:r>
    </w:p>
    <w:p>
      <w:pPr>
        <w:pStyle w:val="正文内容"/>
        <w:ind w:firstLine="562"/>
      </w:pPr>
      <w:r>
        <w:rPr>
          <w:rFonts w:ascii="Times New Roman" w:hAnsi="Times New Roman" w:cs="Times New Roman" w:eastAsia="仿宋"/>
          <w:b w:val="0"/>
          <w:sz w:val="28"/>
        </w:rPr>
        <w:t>一位基金经理发出严厉警告，称比特币当前的下跌可能尚未结束，因为美国财政部即将进行的融资操作预计将抽走约1500亿美元流动性，进一步打压风险资产。</w:t>
      </w:r>
    </w:p>
    <w:p>
      <w:pPr>
        <w:pStyle w:val="正文内容"/>
        <w:ind w:firstLine="562"/>
      </w:pPr>
      <w:r>
        <w:rPr>
          <w:rFonts w:ascii="Times New Roman" w:hAnsi="Times New Roman" w:cs="Times New Roman" w:eastAsia="仿宋"/>
          <w:b w:val="0"/>
          <w:sz w:val="28"/>
        </w:rPr>
        <w:t>据CoinDesk 2026年5月28日报道，一位不愿具名的基金经理警告称，比特币的持续下跌可能会进一步加深，因为美国财政部即将启动一项大规模融资操作，预计将从金融体系中抽走约1500亿美元的流动性。该经理指出，流动性的收紧将对比特币等风险资产构成显著压力。</w:t>
      </w:r>
    </w:p>
    <w:p>
      <w:pPr>
        <w:pStyle w:val="正文内容"/>
        <w:ind w:firstLine="562"/>
      </w:pPr>
      <w:r>
        <w:rPr>
          <w:rFonts w:ascii="Times New Roman" w:hAnsi="Times New Roman" w:cs="Times New Roman" w:eastAsia="仿宋"/>
          <w:b w:val="0"/>
          <w:sz w:val="28"/>
        </w:rPr>
        <w:t>该基金经理表示，比特币此前在75，000-80，000美元区间盘整，但近期受到美伊冲突和ETF资金外流的双重打击，价格已跌破73，000美元。他认为，如果财政部操作导致市场流动性进一步枯竭，比特币可能测试65，000美元甚至更低的支撑位。</w:t>
      </w:r>
    </w:p>
    <w:p>
      <w:pPr>
        <w:pStyle w:val="正文内容"/>
        <w:ind w:firstLine="562"/>
      </w:pPr>
      <w:r>
        <w:rPr>
          <w:rFonts w:ascii="Times New Roman" w:hAnsi="Times New Roman" w:cs="Times New Roman" w:eastAsia="仿宋"/>
          <w:b w:val="0"/>
          <w:sz w:val="28"/>
        </w:rPr>
        <w:t>尽管前景悲观，该经理也承认比特币的长期价值依然存在，但短期内投资者应保持谨慎，减少杠杆头寸。他建议关注美联储政策动向和美元流动性指标，以判断市场底部。</w:t>
      </w:r>
    </w:p>
    <w:p>
      <w:pPr>
        <w:pStyle w:val="信息来源"/>
        <w:spacing w:before="50" w:after="100"/>
        <w:jc w:val="right"/>
      </w:pPr>
      <w:r>
        <w:rPr>
          <w:rFonts w:ascii="Times New Roman" w:hAnsi="Times New Roman" w:cs="Times New Roman" w:eastAsia="仿宋"/>
          <w:b w:val="0"/>
          <w:sz w:val="21"/>
        </w:rPr>
        <w:t>（信息来源：CoinDesk）</w:t>
      </w:r>
    </w:p>
    <w:p>
      <w:pPr>
        <w:pStyle w:val="正文内容"/>
        <w:ind w:firstLine="562"/>
      </w:pPr>
      <w:r>
        <w:rPr>
          <w:rFonts w:ascii="Times New Roman" w:hAnsi="Times New Roman" w:cs="Times New Roman" w:eastAsia="仿宋"/>
          <w:b w:val="0"/>
          <w:sz w:val="28"/>
        </w:rPr>
        <w:t>原文标题：Bitcoin could be heading much lower, fund manager warns as $150 billion Treasury operation nears</w:t>
      </w:r>
    </w:p>
    <w:p>
      <w:pPr>
        <w:pStyle w:val="正文内容"/>
        <w:ind w:firstLine="562"/>
      </w:pPr>
      <w:r>
        <w:rPr>
          <w:rFonts w:ascii="Times New Roman" w:hAnsi="Times New Roman" w:cs="Times New Roman" w:eastAsia="仿宋"/>
          <w:b w:val="0"/>
          <w:sz w:val="28"/>
        </w:rPr>
        <w:t>原文链接：https://news.google.com/rss/articles/CBMi2AFBVV95cUxPMElzcDFBUUNjQzV4R3dhWjlxMW9QVWt4MjkzOEdPNS1oVFIxUVlxTEsyRkU3cHNubTJKRjB5X3FUX3ZEdkgyLXQ5R0xfX3diY2RESEJEZmhkR1lCMEhyN1VGOVoxaGduT1M2SEFWaldjaHdCT2NxMFd5cnV3bDhoeVd5dWhCd1VZTlVKU3BVNElVWkxoMWZVNXh0UFRDV3pQdFRJMndZQ281OXpodjZ1ZWxiMVZpZUdhdEoxSUFQRFQ2QktXaF80RWFqQ3AtVHdveHQ5Sk92RFY</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jc w:val="center"/>
      </w:pPr>
      <w:r>
        <w:rPr>
          <w:rFonts w:ascii="Times New Roman" w:hAnsi="Times New Roman" w:cs="Times New Roman" w:eastAsia="黑体"/>
          <w:b w:val="0"/>
          <w:sz w:val="30"/>
        </w:rPr>
        <w:t>加密卡支付月交易额飙升至78亿美元稳定币成为主要驱动力</w:t>
      </w:r>
    </w:p>
    <w:p>
      <w:pPr>
        <w:ind w:firstLine="0" w:left="0"/>
      </w:pPr>
      <w:r>
        <w:rPr>
          <w:rFonts w:ascii="Times New Roman" w:hAnsi="Times New Roman" w:cs="Times New Roman" w:eastAsia="仿宋"/>
          <w:b w:val="0"/>
          <w:sz w:val="28"/>
        </w:rPr>
        <w:t>· 加密卡支付月交易额同比增长230%达到78亿美元。</w:t>
      </w:r>
    </w:p>
    <w:p>
      <w:pPr>
        <w:ind w:firstLine="0" w:left="0"/>
      </w:pPr>
      <w:r>
        <w:rPr>
          <w:rFonts w:ascii="Times New Roman" w:hAnsi="Times New Roman" w:cs="Times New Roman" w:eastAsia="仿宋"/>
          <w:b w:val="0"/>
          <w:sz w:val="28"/>
        </w:rPr>
        <w:t>· 稳定币在支付场景中的采用是增长的主要驱动力。</w:t>
      </w:r>
    </w:p>
    <w:p>
      <w:pPr>
        <w:pStyle w:val="正文内容"/>
        <w:ind w:firstLine="562"/>
      </w:pPr>
      <w:r>
        <w:rPr>
          <w:rFonts w:ascii="Times New Roman" w:hAnsi="Times New Roman" w:cs="Times New Roman" w:eastAsia="仿宋"/>
          <w:b w:val="0"/>
          <w:sz w:val="28"/>
        </w:rPr>
        <w:t>根据CryptoRank发布的研究报告，加密货币借记卡和信用卡的月交易额已飙升至78亿美元，较去年同期增长230%，其中稳定币交易占比显著提升。</w:t>
      </w:r>
    </w:p>
    <w:p>
      <w:pPr>
        <w:pStyle w:val="正文内容"/>
        <w:ind w:firstLine="562"/>
      </w:pPr>
      <w:r>
        <w:rPr>
          <w:rFonts w:ascii="Times New Roman" w:hAnsi="Times New Roman" w:cs="Times New Roman" w:eastAsia="仿宋"/>
          <w:b w:val="0"/>
          <w:sz w:val="28"/>
        </w:rPr>
        <w:t>加密资产研究机构CryptoRank于2026年5月28日发布的数据显示，加密货币卡（包括借记卡和信用卡）的月支付交易额已突破78亿美元，较2025年同期增长230%。这一增长主要得益于稳定币在支付领域的快速普及，特别是USDT和USDC被广泛用于日常消费和跨境汇款。</w:t>
      </w:r>
    </w:p>
    <w:p>
      <w:pPr>
        <w:pStyle w:val="正文内容"/>
        <w:ind w:firstLine="562"/>
      </w:pPr>
      <w:r>
        <w:rPr>
          <w:rFonts w:ascii="Times New Roman" w:hAnsi="Times New Roman" w:cs="Times New Roman" w:eastAsia="仿宋"/>
          <w:b w:val="0"/>
          <w:sz w:val="28"/>
        </w:rPr>
        <w:t>报告指出，稳定币因其低波动性和即时结算特性，正逐渐取代传统法币成为加密卡交易的首选媒介。目前，稳定币在加密卡交易量中的占比已超过六成，远高于比特币和以太坊。支付网络如Visa和万事达卡也在积极整合稳定币结算通道。</w:t>
      </w:r>
    </w:p>
    <w:p>
      <w:pPr>
        <w:pStyle w:val="正文内容"/>
        <w:ind w:firstLine="562"/>
      </w:pPr>
      <w:r>
        <w:rPr>
          <w:rFonts w:ascii="Times New Roman" w:hAnsi="Times New Roman" w:cs="Times New Roman" w:eastAsia="仿宋"/>
          <w:b w:val="0"/>
          <w:sz w:val="28"/>
        </w:rPr>
        <w:t>CryptoRank分析认为，加密卡支付的增长反映了数字资产从投机工具向实用支付手段的转变。随着更多商户接受加密支付以及监管框架的明确（如欧盟MiCA和美国GENIUS法案），预计这一趋势将在2027年持续加速。</w:t>
      </w:r>
    </w:p>
    <w:p>
      <w:pPr>
        <w:pStyle w:val="正文内容"/>
        <w:ind w:firstLine="562"/>
      </w:pPr>
      <w:r>
        <w:rPr>
          <w:rFonts w:ascii="Times New Roman" w:hAnsi="Times New Roman" w:cs="Times New Roman" w:eastAsia="仿宋"/>
          <w:b w:val="0"/>
          <w:sz w:val="28"/>
        </w:rPr>
        <w:t>然而，报告也提示了风险：部分地区的银行对加密卡仍持限制态度，且交易手续费较高可能影响用户采用。此外，稳定币发行方的储备透明度和合规性仍是市场关注的焦点。</w:t>
      </w:r>
    </w:p>
    <w:p>
      <w:pPr>
        <w:pStyle w:val="正文内容"/>
        <w:ind w:firstLine="562"/>
      </w:pPr>
      <w:r>
        <w:rPr>
          <w:rFonts w:ascii="Times New Roman" w:hAnsi="Times New Roman" w:cs="Times New Roman" w:eastAsia="仿宋"/>
          <w:b w:val="0"/>
          <w:sz w:val="28"/>
        </w:rPr>
        <w:t>总体而言，加密卡支付市场正处于爆发期，其月度78亿美元的交易额仅为冰山一角。如果机构用户的参与度进一步提升，该市场有望在2026年底突破100亿美元大关。</w:t>
      </w:r>
    </w:p>
    <w:p>
      <w:pPr>
        <w:pStyle w:val="信息来源"/>
        <w:spacing w:before="50" w:after="100"/>
        <w:jc w:val="right"/>
      </w:pPr>
      <w:r>
        <w:rPr>
          <w:rFonts w:ascii="Times New Roman" w:hAnsi="Times New Roman" w:cs="Times New Roman" w:eastAsia="仿宋"/>
          <w:b w:val="0"/>
          <w:sz w:val="21"/>
        </w:rPr>
        <w:t>（信息来源：CryptoRank）</w:t>
      </w:r>
    </w:p>
    <w:p>
      <w:pPr>
        <w:pStyle w:val="正文内容"/>
        <w:ind w:firstLine="562"/>
      </w:pPr>
      <w:r>
        <w:rPr>
          <w:rFonts w:ascii="Times New Roman" w:hAnsi="Times New Roman" w:cs="Times New Roman" w:eastAsia="仿宋"/>
          <w:b w:val="0"/>
          <w:sz w:val="28"/>
        </w:rPr>
        <w:t>原文标题：Crypto Card Payments Surge 230% to $7.8 Billion Monthly as Stablecoins Gain Traction</w:t>
      </w:r>
    </w:p>
    <w:p>
      <w:pPr>
        <w:pStyle w:val="正文内容"/>
        <w:ind w:firstLine="562"/>
      </w:pPr>
      <w:r>
        <w:rPr>
          <w:rFonts w:ascii="Times New Roman" w:hAnsi="Times New Roman" w:cs="Times New Roman" w:eastAsia="仿宋"/>
          <w:b w:val="0"/>
          <w:sz w:val="28"/>
        </w:rPr>
        <w:t>原文链接：https://news.google.com/rss/articles/CBMiggFBVV95cUxNSDJUYmFreHYyZ2xqZnJMdTUyU3ktcWZfd1N6cTZ6dS1SQTdpSEFRcG9uM0ViQXA0eDFZOXQtWk81Mk13QXlRa3ZDSVFzSndwM25SZ01BVmNnWXVvLUtLb2dlTmIwbmdtbnd3WXRpU29CeE1pZ195U0t1T3NwZGt1RlpR</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ind w:firstLine="20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ind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jc w:val="center"/>
    </w:pPr>
    <w:rPr>
      <w:rFonts w:ascii="Times New Roman" w:hAnsi="Times New Roman" w:cs="Times New Roman" w:eastAsia="黑体"/>
      <w:sz w:val="30"/>
    </w:rPr>
  </w:style>
  <w:style w:type="paragraph" w:customStyle="1" w:styleId="正文内容">
    <w:name w:val="正文内容"/>
    <w:basedOn w:val="Normal"/>
    <w:pPr>
      <w:ind w:firstLine="562"/>
    </w:pPr>
    <w:rPr>
      <w:rFonts w:ascii="Times New Roman" w:hAnsi="Times New Roman" w:cs="Times New Roman" w:eastAsia="仿宋"/>
      <w:sz w:val="28"/>
    </w:rPr>
  </w:style>
  <w:style w:type="paragraph" w:customStyle="1" w:styleId="信息来源">
    <w:name w:val="信息来源"/>
    <w:basedOn w:val="Normal"/>
    <w:pPr>
      <w:spacing w:before="50" w:after="100"/>
      <w:jc w:val="right"/>
    </w:pPr>
    <w:rPr>
      <w:rFonts w:ascii="Times New Roman" w:hAnsi="Times New Roman" w:cs="Times New Roman" w:eastAsia="仿宋"/>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2026-05-25 16:07 至 2026-05-28 16:07（北京时间，最近3天）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