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SEC将数字资产列为2030年前最高优先事项</w:t>
      </w:r>
    </w:p>
    <w:p>
      <w:pPr>
        <w:pStyle w:val="ListParagraph"/>
        <w:spacing w:before="0" w:after="0" w:line="360" w:lineRule="auto"/>
        <w:ind w:left="0" w:firstLine="0"/>
      </w:pPr>
      <w:r>
        <w:rPr>
          <w:rFonts w:ascii="Times New Roman" w:hAnsi="Times New Roman" w:cs="Times New Roman" w:eastAsia="楷体"/>
          <w:b w:val="0"/>
          <w:sz w:val="28"/>
        </w:rPr>
        <w:t>· 贝森特支持夏季推动《清晰法案》称比特币储备正以审慎速度推进</w:t>
      </w:r>
    </w:p>
    <w:p>
      <w:pPr>
        <w:pStyle w:val="ListParagraph"/>
        <w:spacing w:before="0" w:after="0" w:line="360" w:lineRule="auto"/>
        <w:ind w:left="0" w:firstLine="0"/>
      </w:pPr>
      <w:r>
        <w:rPr>
          <w:rFonts w:ascii="Times New Roman" w:hAnsi="Times New Roman" w:cs="Times New Roman" w:eastAsia="楷体"/>
          <w:b w:val="0"/>
          <w:sz w:val="28"/>
        </w:rPr>
        <w:t>· 英国FCA发布稳定币发行和加密资产托管制度</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Starknet推出Shieldnet以增强DeFi隐私保护</w:t>
      </w:r>
    </w:p>
    <w:p>
      <w:pPr>
        <w:pStyle w:val="ListParagraph"/>
        <w:spacing w:before="0" w:after="0" w:line="360" w:lineRule="auto"/>
        <w:ind w:left="0" w:firstLine="0"/>
      </w:pPr>
      <w:r>
        <w:rPr>
          <w:rFonts w:ascii="Times New Roman" w:hAnsi="Times New Roman" w:cs="Times New Roman" w:eastAsia="楷体"/>
          <w:b w:val="0"/>
          <w:sz w:val="28"/>
        </w:rPr>
        <w:t>· 万事达卡在八条区块链上开放卡结算网络增加周末和假日结算周期</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Hyperliquid全球永续合约市场份额创新高HIP3月交易量突破620亿美元</w:t>
      </w:r>
    </w:p>
    <w:p>
      <w:pPr>
        <w:pStyle w:val="ListParagraph"/>
        <w:spacing w:before="0" w:after="0" w:line="360" w:lineRule="auto"/>
        <w:ind w:left="0" w:firstLine="0"/>
      </w:pPr>
      <w:r>
        <w:rPr>
          <w:rFonts w:ascii="Times New Roman" w:hAnsi="Times New Roman" w:cs="Times New Roman" w:eastAsia="楷体"/>
          <w:b w:val="0"/>
          <w:sz w:val="28"/>
        </w:rPr>
        <w:t>· EdgeX代币闪崩71%后项目方提供退款并悬赏20万USDC</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经济学家AlexKrüger称加密货币为失败资产类别但肯定比特币和区块链价值</w:t>
      </w:r>
    </w:p>
    <w:p>
      <w:pPr>
        <w:pStyle w:val="ListParagraph"/>
        <w:spacing w:before="0" w:after="0" w:line="360" w:lineRule="auto"/>
        <w:ind w:left="0" w:firstLine="0"/>
      </w:pPr>
      <w:r>
        <w:rPr>
          <w:rFonts w:ascii="Times New Roman" w:hAnsi="Times New Roman" w:cs="Times New Roman" w:eastAsia="楷体"/>
          <w:b w:val="0"/>
          <w:sz w:val="28"/>
        </w:rPr>
        <w:t>· 比特币跌破62000美元15亿美元加密货币多头头寸遭清算</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SEC将数字资产列为2030年前最高优先事项</w:t>
      </w:r>
    </w:p>
    <w:p>
      <w:pPr>
        <w:spacing w:before="0" w:after="0" w:line="240" w:lineRule="auto"/>
        <w:ind w:left="0" w:right="0" w:firstLine="0"/>
        <w:jc w:val="both"/>
      </w:pPr>
      <w:r>
        <w:rPr>
          <w:rFonts w:ascii="Times New Roman" w:hAnsi="Times New Roman" w:cs="Times New Roman" w:eastAsia="仿宋"/>
          <w:b w:val="0"/>
          <w:sz w:val="28"/>
        </w:rPr>
        <w:t>· 美国证券交易委员会正式将数字资产监管列为未来五年最高优先事项，显示监管机构对加密市场长期关注的决心。</w:t>
      </w:r>
    </w:p>
    <w:p>
      <w:pPr>
        <w:spacing w:before="0" w:after="0" w:line="240" w:lineRule="auto"/>
        <w:ind w:left="0" w:right="0" w:firstLine="0"/>
        <w:jc w:val="both"/>
      </w:pPr>
      <w:r>
        <w:rPr>
          <w:rFonts w:ascii="Times New Roman" w:hAnsi="Times New Roman" w:cs="Times New Roman" w:eastAsia="仿宋"/>
          <w:b w:val="0"/>
          <w:sz w:val="28"/>
        </w:rPr>
        <w:t>· 该议程覆盖代币发行、交易平台、稳定币等多个领域，可能出台更严格的合规要求。</w:t>
      </w:r>
    </w:p>
    <w:p>
      <w:pPr>
        <w:spacing w:before="0" w:after="0" w:line="240" w:lineRule="auto"/>
        <w:ind w:left="0" w:right="0" w:firstLine="0"/>
        <w:jc w:val="both"/>
      </w:pPr>
      <w:r>
        <w:rPr>
          <w:rFonts w:ascii="Times New Roman" w:hAnsi="Times New Roman" w:cs="Times New Roman" w:eastAsia="仿宋"/>
          <w:b w:val="0"/>
          <w:sz w:val="28"/>
        </w:rPr>
        <w:t>· 此举为美国联邦层面首次明确数字资产在监管日程中的顶层位置，影响全球监管格局。</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2026年6月4日，美国证券交易委员会（SEC）发布新一轮监管议程，正式将数字资产列为2030年前的最高优先事项，标志着美国联邦层面对加密货币监管的持续加强。</w:t>
      </w:r>
    </w:p>
    <w:p>
      <w:pPr>
        <w:pStyle w:val="正文内容"/>
        <w:spacing w:before="0" w:after="0" w:line="240" w:lineRule="auto"/>
        <w:ind w:left="0" w:right="0" w:firstLine="560"/>
        <w:jc w:val="both"/>
      </w:pPr>
      <w:r>
        <w:rPr>
          <w:rFonts w:ascii="Times New Roman" w:hAnsi="Times New Roman" w:cs="Times New Roman" w:eastAsia="仿宋"/>
          <w:b w:val="0"/>
          <w:sz w:val="28"/>
        </w:rPr>
        <w:t>据MEXC报道，美国证券交易委员会（SEC）在最新公布的五年监管议程中，将数字资产（Digital Assets）列为首要优先级，超越传统证券市场的其他议题。该议程覆盖2026年至2030年，是SEC首次在如此长的时间框架内为加密领域设定核心监管目标。这一决定反映出监管机构对加密市场快速扩张和潜在风险的深刻关注，也预示着未来数年美国数字资产规则将迎来系统性重塑。</w:t>
      </w:r>
    </w:p>
    <w:p>
      <w:pPr>
        <w:pStyle w:val="正文内容"/>
        <w:spacing w:before="0" w:after="0" w:line="240" w:lineRule="auto"/>
        <w:ind w:left="0" w:right="0" w:firstLine="560"/>
        <w:jc w:val="both"/>
      </w:pPr>
      <w:r>
        <w:rPr>
          <w:rFonts w:ascii="Times New Roman" w:hAnsi="Times New Roman" w:cs="Times New Roman" w:eastAsia="仿宋"/>
          <w:b w:val="0"/>
          <w:sz w:val="28"/>
        </w:rPr>
        <w:t>SEC在议程中明确表示，将重点聚焦于代币发行（Token Offerings）、交易平台（Trading Platforms）、稳定币（Stablecoins）以及去中心化金融（DeFi）等关键领域。根据议程描述，SEC计划推出新的规则制定提案，以明确数字资产的法律定义和分类，并强化投资者保护机制。议程还提到，SEC将加大执法力度，针对未注册证券发行和市场操纵行为采取更严厉的行动。</w:t>
      </w:r>
    </w:p>
    <w:p>
      <w:pPr>
        <w:pStyle w:val="正文内容"/>
        <w:spacing w:before="0" w:after="0" w:line="240" w:lineRule="auto"/>
        <w:ind w:left="0" w:right="0" w:firstLine="560"/>
        <w:jc w:val="both"/>
      </w:pPr>
      <w:r>
        <w:rPr>
          <w:rFonts w:ascii="Times New Roman" w:hAnsi="Times New Roman" w:cs="Times New Roman" w:eastAsia="仿宋"/>
          <w:b w:val="0"/>
          <w:sz w:val="28"/>
        </w:rPr>
        <w:t>此次议程的发布背景是加密市场在经历2025年的剧烈波动后逐步恢复。市场参与者此前一直期待监管清晰度，SEC此举被视为对行业长期诉求的回应。然而，议程中严格的监管导向也可能增加合规成本，尤其是对于小型项目和创新企业。部分法律专家认为，SEC优先级的设定可能加速传统金融机构进入加密市场，因为这些机构更适应高标准的监管环境。</w:t>
      </w:r>
    </w:p>
    <w:p>
      <w:pPr>
        <w:pStyle w:val="正文内容"/>
        <w:spacing w:before="0" w:after="0" w:line="240" w:lineRule="auto"/>
        <w:ind w:left="0" w:right="0" w:firstLine="560"/>
        <w:jc w:val="both"/>
      </w:pPr>
      <w:r>
        <w:rPr>
          <w:rFonts w:ascii="Times New Roman" w:hAnsi="Times New Roman" w:cs="Times New Roman" w:eastAsia="仿宋"/>
          <w:b w:val="0"/>
          <w:sz w:val="28"/>
        </w:rPr>
        <w:t>从全球视角看，美国SEC的监管优先级调整可能引发连锁反应。欧盟已于2025年全面实施加密资产市场法规（MiCA），英国、新加坡等地也在推进类似框架。SEC将数字资产列为最高优先，意味着美国正努力与其他主要经济体保持监管步调一致，避免成为监管套利的目标。观察人士指出，清晰的监管路径有助于吸引机构资本，但过度严苛的规则可能扼杀创新，SEC需要在二者间寻求平衡。</w:t>
      </w:r>
    </w:p>
    <w:p>
      <w:pPr>
        <w:pStyle w:val="正文内容"/>
        <w:spacing w:before="0" w:after="0" w:line="240" w:lineRule="auto"/>
        <w:ind w:left="0" w:right="0" w:firstLine="560"/>
        <w:jc w:val="both"/>
      </w:pPr>
      <w:r>
        <w:rPr>
          <w:rFonts w:ascii="Times New Roman" w:hAnsi="Times New Roman" w:cs="Times New Roman" w:eastAsia="仿宋"/>
          <w:b w:val="0"/>
          <w:sz w:val="28"/>
        </w:rPr>
        <w:t>SEC在议程中亦提及与国际证券监管机构（IOSCO）的合作计划，旨在建立全球统一的数字资产监管标准。同时，SEC将评估现有豁免条款（如Reg D和Reg A+）是否适用于加密资产发行，以及是否需要为小型企业创设新的避险通道。这些举措表明，SEC并非一味打压，而是试图通过制度设计将数字资产纳入现有证券法律框架。议程最终版本的发布时间预计在2026年第三季度，届时公众将有60天时间提交评论意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（信息来源：MEXC）</w:t>
      </w:r>
    </w:p>
    <w:p>
      <w:pPr>
        <w:pStyle w:val="原文信息"/>
        <w:spacing w:before="0" w:after="0" w:line="240" w:lineRule="auto"/>
        <w:ind w:left="0" w:right="0" w:firstLine="0"/>
        <w:jc w:val="left"/>
      </w:pPr>
      <w:r>
        <w:rPr>
          <w:rFonts w:ascii="Times New Roman" w:hAnsi="Times New Roman" w:cs="Times New Roman" w:eastAsia="仿宋"/>
          <w:b w:val="0"/>
          <w:sz w:val="18"/>
        </w:rPr>
        <w:t>原文标题：SEC Makes Digital Assets a Top Priority Through 2030</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贝森特支持夏季推动《清晰法案》称比特币储备正以审慎速度推进</w:t>
      </w:r>
    </w:p>
    <w:p>
      <w:pPr>
        <w:spacing w:before="0" w:after="0" w:line="240" w:lineRule="auto"/>
        <w:ind w:left="0" w:right="0" w:firstLine="0"/>
        <w:jc w:val="both"/>
      </w:pPr>
      <w:r>
        <w:rPr>
          <w:rFonts w:ascii="Times New Roman" w:hAnsi="Times New Roman" w:cs="Times New Roman" w:eastAsia="仿宋"/>
          <w:b w:val="0"/>
          <w:sz w:val="28"/>
        </w:rPr>
        <w:t>· 美国财政部长Scott Bessent公开支持夏季推进《清晰法案》（Clarity Act），旨在为加密货币提供监管框架。</w:t>
      </w:r>
    </w:p>
    <w:p>
      <w:pPr>
        <w:spacing w:before="0" w:after="0" w:line="240" w:lineRule="auto"/>
        <w:ind w:left="0" w:right="0" w:firstLine="0"/>
        <w:jc w:val="both"/>
      </w:pPr>
      <w:r>
        <w:rPr>
          <w:rFonts w:ascii="Times New Roman" w:hAnsi="Times New Roman" w:cs="Times New Roman" w:eastAsia="仿宋"/>
          <w:b w:val="0"/>
          <w:sz w:val="28"/>
        </w:rPr>
        <w:t>· 贝森特透露美国比特币储备的建立进展以“审慎速度”推进，强调安全与合规优先。</w:t>
      </w:r>
    </w:p>
    <w:p>
      <w:pPr>
        <w:spacing w:before="0" w:after="0" w:line="240" w:lineRule="auto"/>
        <w:ind w:left="0" w:right="0" w:firstLine="0"/>
        <w:jc w:val="both"/>
      </w:pPr>
      <w:r>
        <w:rPr>
          <w:rFonts w:ascii="Times New Roman" w:hAnsi="Times New Roman" w:cs="Times New Roman" w:eastAsia="仿宋"/>
          <w:b w:val="0"/>
          <w:sz w:val="28"/>
        </w:rPr>
        <w:t>· 该表态被市场视为美国联邦层面加速加密货币立法的重要信号，但具体实施仍需时间。</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Bessent于2026年6月4日公开表态，支持今年夏季推动《清晰法案》（Clarity Act）的立法进程，并透露政府持有的比特币储备正在以“审慎速度”（deliberate speed）推进。</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Bessent在2026年6月4日的一场公开活动中明确表示，支持在夏季推动《清晰法案》（Clarity Act）的立法工作。该法案旨在为加密货币和数字资产提供明确的监管框架，以减少行业不确定性。贝森特的发言被视为美国联邦政策层面对加密货币态度趋于积极的重要信号，但同时也强调需谨慎推进。</w:t>
      </w:r>
    </w:p>
    <w:p>
      <w:pPr>
        <w:pStyle w:val="正文内容"/>
        <w:spacing w:before="0" w:after="0" w:line="240" w:lineRule="auto"/>
        <w:ind w:left="0" w:right="0" w:firstLine="560"/>
        <w:jc w:val="both"/>
      </w:pPr>
      <w:r>
        <w:rPr>
          <w:rFonts w:ascii="Times New Roman" w:hAnsi="Times New Roman" w:cs="Times New Roman" w:eastAsia="仿宋"/>
          <w:b w:val="0"/>
          <w:sz w:val="28"/>
        </w:rPr>
        <w:t>贝森特在讲话中指出，美国正在建立的比特币储备并非仓促之举，而是以“审慎速度”（deliberate speed）稳步进行。他强调了政府在该过程中的安全考量和合规要求，暗示储备规模的扩张将取决于风险管理和法律框架的完善。这一说法呼应了此前市场对美联储或财政部如何管理数字资产储备的猜测。</w:t>
      </w:r>
    </w:p>
    <w:p>
      <w:pPr>
        <w:pStyle w:val="正文内容"/>
        <w:spacing w:before="0" w:after="0" w:line="240" w:lineRule="auto"/>
        <w:ind w:left="0" w:right="0" w:firstLine="560"/>
        <w:jc w:val="both"/>
      </w:pPr>
      <w:r>
        <w:rPr>
          <w:rFonts w:ascii="Times New Roman" w:hAnsi="Times New Roman" w:cs="Times New Roman" w:eastAsia="仿宋"/>
          <w:b w:val="0"/>
          <w:sz w:val="28"/>
        </w:rPr>
        <w:t>《清晰法案》（Clarity Act）此前已在国会两院获得部分支持，但尚未进入表决阶段。贝森特此次表态被认为将加速立法议程。该法案的核心内容是为数字资产分类提供法律依据，并明确监管机构的管辖权划分。若通过，将直接影响到美国境内比特币交易、托管及储备管理的合规要求。</w:t>
      </w:r>
    </w:p>
    <w:p>
      <w:pPr>
        <w:pStyle w:val="正文内容"/>
        <w:spacing w:before="0" w:after="0" w:line="240" w:lineRule="auto"/>
        <w:ind w:left="0" w:right="0" w:firstLine="560"/>
        <w:jc w:val="both"/>
      </w:pPr>
      <w:r>
        <w:rPr>
          <w:rFonts w:ascii="Times New Roman" w:hAnsi="Times New Roman" w:cs="Times New Roman" w:eastAsia="仿宋"/>
          <w:b w:val="0"/>
          <w:sz w:val="28"/>
        </w:rPr>
        <w:t>比特币储备的推进速度成为市场关注焦点。贝森特并未透露具体持有量或购买计划，但强调当前阶段以审计和系统建设为主。分析人士指出，政府的“审慎”表态缓解了市场对大规模抛售或过度干预的担忧，同时也暗示短期内不会出现激进的储备积累。</w:t>
      </w:r>
    </w:p>
    <w:p>
      <w:pPr>
        <w:pStyle w:val="正文内容"/>
        <w:spacing w:before="0" w:after="0" w:line="240" w:lineRule="auto"/>
        <w:ind w:left="0" w:right="0" w:firstLine="560"/>
        <w:jc w:val="both"/>
      </w:pPr>
      <w:r>
        <w:rPr>
          <w:rFonts w:ascii="Times New Roman" w:hAnsi="Times New Roman" w:cs="Times New Roman" w:eastAsia="仿宋"/>
          <w:b w:val="0"/>
          <w:sz w:val="28"/>
        </w:rPr>
        <w:t>行业人士对贝森特的发言反应不一。支持者认为这是美国拥抱数字资产的正向信号，可吸引更多机构入场；批评者则担心立法速度过快可能带来监管漏洞。值得注意的是，贝森特未提及任何与储备相关的具体时间表，仅表示将“在恰当的时间公布更多细节”。</w:t>
      </w:r>
    </w:p>
    <w:p>
      <w:pPr>
        <w:pStyle w:val="正文内容"/>
        <w:spacing w:before="0" w:after="0" w:line="240" w:lineRule="auto"/>
        <w:ind w:left="0" w:right="0" w:firstLine="560"/>
        <w:jc w:val="both"/>
      </w:pPr>
      <w:r>
        <w:rPr>
          <w:rFonts w:ascii="Times New Roman" w:hAnsi="Times New Roman" w:cs="Times New Roman" w:eastAsia="仿宋"/>
          <w:b w:val="0"/>
          <w:sz w:val="28"/>
        </w:rPr>
        <w:t>从更宏观的视角看，美国财政部的这一动向与全球多国对比特币储备的探索同步。日本、瑞士等国已开始研究将比特币纳入外汇储备的可行性。贝森特的表态可能推动国际协调，但亦需应对国内关于美元地位和金融稳定的辩论。后续观察重点在于《清晰法案》是否能在夏季休会前进入投票阶段。</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原文标题：Bessent backs summer push for Clarity Act， says bitcoin reserve moving at ‘deliberate speed’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英国FCA发布稳定币发行和加密资产托管制度</w:t>
      </w:r>
    </w:p>
    <w:p>
      <w:pPr>
        <w:spacing w:before="0" w:after="0" w:line="240" w:lineRule="auto"/>
        <w:ind w:left="0" w:right="0" w:firstLine="0"/>
        <w:jc w:val="both"/>
      </w:pPr>
      <w:r>
        <w:rPr>
          <w:rFonts w:ascii="Times New Roman" w:hAnsi="Times New Roman" w:cs="Times New Roman" w:eastAsia="仿宋"/>
          <w:b w:val="0"/>
          <w:sz w:val="28"/>
        </w:rPr>
        <w:t>· 英国金融行为监管局（FCA）于2026年6月4日正式发布稳定币发行和加密资产托管监管制度，成为全球首个针对该领域的完整监管框架。</w:t>
      </w:r>
    </w:p>
    <w:p>
      <w:pPr>
        <w:spacing w:before="0" w:after="0" w:line="240" w:lineRule="auto"/>
        <w:ind w:left="0" w:right="0" w:firstLine="0"/>
        <w:jc w:val="both"/>
      </w:pPr>
      <w:r>
        <w:rPr>
          <w:rFonts w:ascii="Times New Roman" w:hAnsi="Times New Roman" w:cs="Times New Roman" w:eastAsia="仿宋"/>
          <w:b w:val="0"/>
          <w:sz w:val="28"/>
        </w:rPr>
        <w:t>· 新制度要求稳定币发行方必须持有FCA授权，并遵守资本储备、信息披露和反洗钱等要求。</w:t>
      </w:r>
    </w:p>
    <w:p>
      <w:pPr>
        <w:spacing w:before="0" w:after="0" w:line="240" w:lineRule="auto"/>
        <w:ind w:left="0" w:right="0" w:firstLine="0"/>
        <w:jc w:val="both"/>
      </w:pPr>
      <w:r>
        <w:rPr>
          <w:rFonts w:ascii="Times New Roman" w:hAnsi="Times New Roman" w:cs="Times New Roman" w:eastAsia="仿宋"/>
          <w:b w:val="0"/>
          <w:sz w:val="28"/>
        </w:rPr>
        <w:t>· 加密资产托管方需遵循严格的客户资产隔离、安全审计和风险管理标准，旨在保护投资者并防范系统性风险。</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CA）于2026年6月4日正式发布稳定币发行和加密资产托管监管制度，标志着英国在数字资产监管领域迈出关键一步。该制度涵盖稳定币发行授权、资本储备要求、运营风险管理以及加密资产托管方的客户资产隔离与审计标准，旨在为市场参与者提供明确的合规路径，同时防范金融稳定风险。</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2026年6月4日，英国金融行为监管局（Financial Conduct Authority，FCA）正式发布稳定币发行和加密资产托管监管制度。该制度是英国政府落实数字资产监管框架的核心组成部分，旨在为稳定币和加密资产服务提供统一的合规标准。根据公告，新规将于2026年底前分阶段实施，要求所有在英国运营的稳定币发行方和加密资产托管服务商在2027年3月前完成注册或申请许可证。</w:t>
      </w:r>
    </w:p>
    <w:p>
      <w:pPr>
        <w:pStyle w:val="正文内容"/>
        <w:spacing w:before="0" w:after="0" w:line="240" w:lineRule="auto"/>
        <w:ind w:left="0" w:right="0" w:firstLine="560"/>
        <w:jc w:val="both"/>
      </w:pPr>
      <w:r>
        <w:rPr>
          <w:rFonts w:ascii="Times New Roman" w:hAnsi="Times New Roman" w:cs="Times New Roman" w:eastAsia="仿宋"/>
          <w:b w:val="0"/>
          <w:sz w:val="28"/>
        </w:rPr>
        <w:t>在稳定币发行方面，新制度明确要求发行方必须获得FCA授权，并满足一系列严格条件。发行方需持有与其流通稳定币价值相等的高流动性储备资产，并定期接受第三方审计。此外，发行方必须建立完善的赎回机制，确保用户能够按面值兑换法币。制度还强调信息披露义务，发行方需公开其储备资产的构成、估值方法和风险管理框架。对于算法稳定币，FCA表示将采取更严格的审慎措施，以防止因设计缺陷导致的脱锚风险。</w:t>
      </w:r>
    </w:p>
    <w:p>
      <w:pPr>
        <w:pStyle w:val="正文内容"/>
        <w:spacing w:before="0" w:after="0" w:line="240" w:lineRule="auto"/>
        <w:ind w:left="0" w:right="0" w:firstLine="560"/>
        <w:jc w:val="both"/>
      </w:pPr>
      <w:r>
        <w:rPr>
          <w:rFonts w:ascii="Times New Roman" w:hAnsi="Times New Roman" w:cs="Times New Roman" w:eastAsia="仿宋"/>
          <w:b w:val="0"/>
          <w:sz w:val="28"/>
        </w:rPr>
        <w:t>加密资产托管方面，新规要求托管服务商对客户资产实施隔离存放，不得与自有资产混同。服务商必须建立冷热钱包分离机制，并设定私钥管理的最低安全标准。同时，托管方需定期进行独立安全审计，并向FCA报告重大安全事件。制度还引入了客户资产保护机制，要求托管方在破产清算时优先清偿客户资产。这些要求与美国、欧盟的类似监管思路保持一致，但英国在钱包安全审计和客户资产隔离方面设定了更高门槛。</w:t>
      </w:r>
    </w:p>
    <w:p>
      <w:pPr>
        <w:pStyle w:val="正文内容"/>
        <w:spacing w:before="0" w:after="0" w:line="240" w:lineRule="auto"/>
        <w:ind w:left="0" w:right="0" w:firstLine="560"/>
        <w:jc w:val="both"/>
      </w:pPr>
      <w:r>
        <w:rPr>
          <w:rFonts w:ascii="Times New Roman" w:hAnsi="Times New Roman" w:cs="Times New Roman" w:eastAsia="仿宋"/>
          <w:b w:val="0"/>
          <w:sz w:val="28"/>
        </w:rPr>
        <w:t>FCA表示，此次监管制度的出台是对2025年《金融服务和市场法案》中加密资产条款的具体落实。该制度参考了国际监管标准，特别是国际证监会组织（International Organization of Securities Commissions，IOSCO）和金融稳定理事会（Financial Stability Board，FSB）的建议。FCA执行董事Sarah Pritchard在声明中称：“新制度将通过创造清晰、可预测的监管环境，促进加密资产市场在英国安全、可持续地发展。”</w:t>
      </w:r>
    </w:p>
    <w:p>
      <w:pPr>
        <w:pStyle w:val="正文内容"/>
        <w:spacing w:before="0" w:after="0" w:line="240" w:lineRule="auto"/>
        <w:ind w:left="0" w:right="0" w:firstLine="560"/>
        <w:jc w:val="both"/>
      </w:pPr>
      <w:r>
        <w:rPr>
          <w:rFonts w:ascii="Times New Roman" w:hAnsi="Times New Roman" w:cs="Times New Roman" w:eastAsia="仿宋"/>
          <w:b w:val="0"/>
          <w:sz w:val="28"/>
        </w:rPr>
        <w:t>市场反应方面，主要稳定币发行方如Circle和Tether均表示正在评估新规对其英国业务的影响。部分分析人士认为，严格的资本储备和审计要求可能推高合规成本，导致小型发行方退出市场。然而，多数行业机构对新规表示欢迎，认为这有助于提升投资者信心并吸引机构资金入场。英国数字资产协会（CryptoUK）则呼吁FCA在实施过程中提供过渡期指导，以帮助企业顺利适应新要求。</w:t>
      </w:r>
    </w:p>
    <w:p>
      <w:pPr>
        <w:pStyle w:val="正文内容"/>
        <w:spacing w:before="0" w:after="0" w:line="240" w:lineRule="auto"/>
        <w:ind w:left="0" w:right="0" w:firstLine="560"/>
        <w:jc w:val="both"/>
      </w:pPr>
      <w:r>
        <w:rPr>
          <w:rFonts w:ascii="Times New Roman" w:hAnsi="Times New Roman" w:cs="Times New Roman" w:eastAsia="仿宋"/>
          <w:b w:val="0"/>
          <w:sz w:val="28"/>
        </w:rPr>
        <w:t>从全球监管格局看，英国此次立法紧随欧盟《加密资产市场法案》（Markets in Crypto-Assets，MiCA）之后，但更聚焦于稳定币和托管这两个风险高发领域。与欧盟的综合性框架不同，英国采取分阶段推进策略，优先监管最急迫的环节。FCA表示，未来还将陆续发布关于去中心化金融（DeFi）和加密资产交易平台的监管规则。分析人士指出，英国正在走一条介于美国和欧盟之间的中间路线，在保护投资者和维护金融稳定之间寻求平衡。</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2026年第四季度将迎来首批稳定币发行方和托管商的注册截止日期。届时市场参与者的合规情况将成为判断制度成效的早期指标。此外，业界密切关注FCA是否会参考欧洲监管动态，进一步调整对算法稳定币和跨链资产的处理方式。总之，英国稳定币和托管监管制度的落地，为其他国家提供了重要的实践经验，同时也在全球数字资产监管竞赛中占据了先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原文标题：United Kingdom FCA Stablecoin Issuance and Cryptoasset Custody Regime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Starknet推出Shieldnet以增强DeFi隐私保护</w:t>
      </w:r>
    </w:p>
    <w:p>
      <w:pPr>
        <w:spacing w:before="0" w:after="0" w:line="240" w:lineRule="auto"/>
        <w:ind w:left="0" w:right="0" w:firstLine="0"/>
        <w:jc w:val="both"/>
      </w:pPr>
      <w:r>
        <w:rPr>
          <w:rFonts w:ascii="Times New Roman" w:hAnsi="Times New Roman" w:cs="Times New Roman" w:eastAsia="仿宋"/>
          <w:b w:val="0"/>
          <w:sz w:val="28"/>
        </w:rPr>
        <w:t>· Starknet发布名为Shieldnet的隐私解决方案，专门面向DeFi场景。</w:t>
      </w:r>
    </w:p>
    <w:p>
      <w:pPr>
        <w:spacing w:before="0" w:after="0" w:line="240" w:lineRule="auto"/>
        <w:ind w:left="0" w:right="0" w:firstLine="0"/>
        <w:jc w:val="both"/>
      </w:pPr>
      <w:r>
        <w:rPr>
          <w:rFonts w:ascii="Times New Roman" w:hAnsi="Times New Roman" w:cs="Times New Roman" w:eastAsia="仿宋"/>
          <w:b w:val="0"/>
          <w:sz w:val="28"/>
        </w:rPr>
        <w:t>· 该方案旨在解决以太坊Layer 2上交易数据默认公开带来的隐私问题。</w:t>
      </w:r>
    </w:p>
    <w:p>
      <w:pPr>
        <w:spacing w:before="0" w:after="0" w:line="240" w:lineRule="auto"/>
        <w:ind w:left="0" w:right="0" w:firstLine="0"/>
        <w:jc w:val="both"/>
      </w:pPr>
      <w:r>
        <w:rPr>
          <w:rFonts w:ascii="Times New Roman" w:hAnsi="Times New Roman" w:cs="Times New Roman" w:eastAsia="仿宋"/>
          <w:b w:val="0"/>
          <w:sz w:val="28"/>
        </w:rPr>
        <w:t>· Shieldnet的推出反映了DeFi领域对隐私保护需求的日益增长。</w:t>
      </w:r>
    </w:p>
    <w:p>
      <w:pPr>
        <w:pStyle w:val="正文内容"/>
        <w:spacing w:before="0" w:after="0" w:line="240" w:lineRule="auto"/>
        <w:ind w:left="0" w:right="0" w:firstLine="560"/>
        <w:jc w:val="both"/>
      </w:pPr>
      <w:r>
        <w:rPr>
          <w:rFonts w:ascii="Times New Roman" w:hAnsi="Times New Roman" w:cs="Times New Roman" w:eastAsia="仿宋"/>
          <w:b w:val="0"/>
          <w:sz w:val="28"/>
        </w:rPr>
        <w:t>Starknet于2026年6月4日宣布推出Shieldnet，这是一种新型隐私保护工具，旨在为去中心化金融（DeFi）应用提供更强的交易隐私保护。</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2026年6月4日，Starknet宣布推出Shieldnet，这是一种旨在增强DeFi隐私保护的新解决方案。Starknet是以太坊上的Layer 2扩容网络，采用零知识证明（ZK-rollup，ZKR）技术，以实现高吞吐量和低交易费用。此次发布的Shieldnet将隐私功能直接集成到Layer 2层，允许用户在保持DeFi互操作性的同时隐藏交易细节。</w:t>
      </w:r>
    </w:p>
    <w:p>
      <w:pPr>
        <w:pStyle w:val="正文内容"/>
        <w:spacing w:before="0" w:after="0" w:line="240" w:lineRule="auto"/>
        <w:ind w:left="0" w:right="0" w:firstLine="560"/>
        <w:jc w:val="both"/>
      </w:pPr>
      <w:r>
        <w:rPr>
          <w:rFonts w:ascii="Times New Roman" w:hAnsi="Times New Roman" w:cs="Times New Roman" w:eastAsia="仿宋"/>
          <w:b w:val="0"/>
          <w:sz w:val="28"/>
        </w:rPr>
        <w:t>在DeFi生态系统中，交易数据通常公开可见，这可能导致用户交易策略的暴露、抢跑交易（front-running）以及个人财务信息的泄露。Shieldnet通过加密交易金额和接收方地址来解决这一问题，同时仍然允许智能合约验证交易的有效性。这种设计使得用户可以在公开区块链上享受隐私，同时不牺牲去中心化和安全性。</w:t>
      </w:r>
    </w:p>
    <w:p>
      <w:pPr>
        <w:pStyle w:val="正文内容"/>
        <w:spacing w:before="0" w:after="0" w:line="240" w:lineRule="auto"/>
        <w:ind w:left="0" w:right="0" w:firstLine="560"/>
        <w:jc w:val="both"/>
      </w:pPr>
      <w:r>
        <w:rPr>
          <w:rFonts w:ascii="Times New Roman" w:hAnsi="Times New Roman" w:cs="Times New Roman" w:eastAsia="仿宋"/>
          <w:b w:val="0"/>
          <w:sz w:val="28"/>
        </w:rPr>
        <w:t>Shieldnet基于Starknet现有的零知识证明基础设施构建，利用了Cairo编程语言的原生隐私功能。开发者可以轻松将Shieldnet集成到现有DeFi应用中，而无需修改核心逻辑。Starknet团队表示，Shieldnet已经过安全审计，并将在未来几个月内逐步向主网用户开放。</w:t>
      </w:r>
    </w:p>
    <w:p>
      <w:pPr>
        <w:pStyle w:val="正文内容"/>
        <w:spacing w:before="0" w:after="0" w:line="240" w:lineRule="auto"/>
        <w:ind w:left="0" w:right="0" w:firstLine="560"/>
        <w:jc w:val="both"/>
      </w:pPr>
      <w:r>
        <w:rPr>
          <w:rFonts w:ascii="Times New Roman" w:hAnsi="Times New Roman" w:cs="Times New Roman" w:eastAsia="仿宋"/>
          <w:b w:val="0"/>
          <w:sz w:val="28"/>
        </w:rPr>
        <w:t>隐私保护一直是DeFi领域的关键挑战之一。随着监管机构对链上活动监控的加强，以及用户对个人数据主权意识的提升，隐私解决方案的需求日益增长。Shieldnet的推出可能为其他Layer 2项目树立标杆，推动整个以太坊生态向更隐私的方向发展。</w:t>
      </w:r>
    </w:p>
    <w:p>
      <w:pPr>
        <w:pStyle w:val="正文内容"/>
        <w:spacing w:before="0" w:after="0" w:line="240" w:lineRule="auto"/>
        <w:ind w:left="0" w:right="0" w:firstLine="560"/>
        <w:jc w:val="both"/>
      </w:pPr>
      <w:r>
        <w:rPr>
          <w:rFonts w:ascii="Times New Roman" w:hAnsi="Times New Roman" w:cs="Times New Roman" w:eastAsia="仿宋"/>
          <w:b w:val="0"/>
          <w:sz w:val="28"/>
        </w:rPr>
        <w:t>尽管Shieldnet目前仅针对Starknet生态，但其底层技术有望被扩展到其他兼容以太坊虚拟机（EVM，Ethereum Virtual Machine）的链上。观察人士认为，如果Shieldnet被广泛采用，它可能改变DeFi的竞争格局，促使更多项目将隐私功能作为标准配置。未来，Starknet计划发布更多关于Shieldnet的技术文档和开发者工具，以支持社区构建隐私优先的DeFi应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 Briefing）</w:t>
      </w:r>
    </w:p>
    <w:p>
      <w:pPr>
        <w:pStyle w:val="原文信息"/>
        <w:spacing w:before="0" w:after="0" w:line="240" w:lineRule="auto"/>
        <w:ind w:left="0" w:right="0" w:firstLine="0"/>
        <w:jc w:val="left"/>
      </w:pPr>
      <w:r>
        <w:rPr>
          <w:rFonts w:ascii="Times New Roman" w:hAnsi="Times New Roman" w:cs="Times New Roman" w:eastAsia="仿宋"/>
          <w:b w:val="0"/>
          <w:sz w:val="18"/>
        </w:rPr>
        <w:t>原文标题：Starknet unveils Shieldnet for enhanced privacy in DeFi</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万事达卡在八条区块链上开放卡结算网络增加周末和假日结算周期</w:t>
      </w:r>
    </w:p>
    <w:p>
      <w:pPr>
        <w:spacing w:before="0" w:after="0" w:line="240" w:lineRule="auto"/>
        <w:ind w:left="0" w:right="0" w:firstLine="0"/>
        <w:jc w:val="both"/>
      </w:pPr>
      <w:r>
        <w:rPr>
          <w:rFonts w:ascii="Times New Roman" w:hAnsi="Times New Roman" w:cs="Times New Roman" w:eastAsia="仿宋"/>
          <w:b w:val="0"/>
          <w:sz w:val="28"/>
        </w:rPr>
        <w:t>· 万事达卡将卡结算网络扩展至八条区块链，实现7×24小时全天候结算能力。</w:t>
      </w:r>
    </w:p>
    <w:p>
      <w:pPr>
        <w:spacing w:before="0" w:after="0" w:line="240" w:lineRule="auto"/>
        <w:ind w:left="0" w:right="0" w:firstLine="0"/>
        <w:jc w:val="both"/>
      </w:pPr>
      <w:r>
        <w:rPr>
          <w:rFonts w:ascii="Times New Roman" w:hAnsi="Times New Roman" w:cs="Times New Roman" w:eastAsia="仿宋"/>
          <w:b w:val="0"/>
          <w:sz w:val="28"/>
        </w:rPr>
        <w:t>· 新增周末和假日结算周期，大幅提升支付系统效率和资金流动性。</w:t>
      </w:r>
    </w:p>
    <w:p>
      <w:pPr>
        <w:spacing w:before="0" w:after="0" w:line="240" w:lineRule="auto"/>
        <w:ind w:left="0" w:right="0" w:firstLine="0"/>
        <w:jc w:val="both"/>
      </w:pPr>
      <w:r>
        <w:rPr>
          <w:rFonts w:ascii="Times New Roman" w:hAnsi="Times New Roman" w:cs="Times New Roman" w:eastAsia="仿宋"/>
          <w:b w:val="0"/>
          <w:sz w:val="28"/>
        </w:rPr>
        <w:t>· 此举标志着传统支付巨头加速采用区块链技术，推动跨境结算创新。</w:t>
      </w:r>
    </w:p>
    <w:p>
      <w:pPr>
        <w:pStyle w:val="正文内容"/>
        <w:spacing w:before="0" w:after="0" w:line="240" w:lineRule="auto"/>
        <w:ind w:left="0" w:right="0" w:firstLine="560"/>
        <w:jc w:val="both"/>
      </w:pPr>
      <w:r>
        <w:rPr>
          <w:rFonts w:ascii="Times New Roman" w:hAnsi="Times New Roman" w:cs="Times New Roman" w:eastAsia="仿宋"/>
          <w:b w:val="0"/>
          <w:sz w:val="28"/>
        </w:rPr>
        <w:t>全球支付巨头万事达卡（Mastercard）于2026年6月3日宣布，其卡结算网络已正式在八条区块链上开放，并新增周末和假日结算周期，实现7×24小时不间断结算。这一举措是万事达卡数字货币与区块链战略的重要里程碑，旨在提升支付系统的效率和灵活性，满足日益增长的数字化交易需求。在此之前，传统卡结算网络通常在工作日运营，节假日和周末交易需延迟处理。</w:t>
      </w:r>
    </w:p>
    <w:p>
      <w:pPr>
        <w:pStyle w:val="正文内容"/>
        <w:spacing w:before="0" w:after="0" w:line="240" w:lineRule="auto"/>
        <w:ind w:left="0" w:right="0" w:firstLine="560"/>
        <w:jc w:val="both"/>
      </w:pPr>
      <w:r>
        <w:rPr>
          <w:rFonts w:ascii="Times New Roman" w:hAnsi="Times New Roman" w:cs="Times New Roman" w:eastAsia="仿宋"/>
          <w:b w:val="0"/>
          <w:sz w:val="28"/>
        </w:rPr>
        <w:t>据悉，万事达卡此次整合的八条区块链包括以太坊（Ethereum）、Polygon、Solana等主流公链，以及部分私有链。通过将结算网络与区块链技术结合，万事达卡能够利用分布式账本的去中心化特性，实现交易实时验证和最终结算。新增周末和假日周期意味着商户和发卡行可以随时获得资金，消除因结算延迟导致的流动性压力。万事达卡执行副总裁表示，这一升级将显著改善用户体验，尤其对跨境电商和数字资产交易领域。</w:t>
      </w:r>
    </w:p>
    <w:p>
      <w:pPr>
        <w:pStyle w:val="正文内容"/>
        <w:spacing w:before="0" w:after="0" w:line="240" w:lineRule="auto"/>
        <w:ind w:left="0" w:right="0" w:firstLine="560"/>
        <w:jc w:val="both"/>
      </w:pPr>
      <w:r>
        <w:rPr>
          <w:rFonts w:ascii="Times New Roman" w:hAnsi="Times New Roman" w:cs="Times New Roman" w:eastAsia="仿宋"/>
          <w:b w:val="0"/>
          <w:sz w:val="28"/>
        </w:rPr>
        <w:t>此次升级的背景是加密货币和区块链支付领域的快速增长。根据市场数据，2026年全球数字支付交易额预计突破10万亿美元，其中基于区块链的支付占比持续上升。万事达卡此前已与多家加密支付服务商合作，推出加密信用卡和数字货币钱包。此次开放结算网络是技术基础设施的进一步补充，为机构客户提供更高效的结算通道。分析师认为，万事达卡的举措可能推动更多传统金融机构采用区块链结算。</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从监管角度看，万事达卡强调此次升级符合全球主要市场的合规要求。公司已与各国央行和监管机构沟通，确保区块链结算网络满足反洗钱（Anti-Money Laundering，AML）和了解你的客户（Know Your Customer，KYC）标准。此外，万事达卡还引入了多重签名和加密验证机制，以保障交易安全。市场反应积极，消息公布后，万事达卡股价在当日交易中上涨1.2%，比特币价格也随之小幅攀升。</w:t>
      </w:r>
    </w:p>
    <w:p>
      <w:pPr>
        <w:pStyle w:val="正文内容"/>
        <w:spacing w:before="0" w:after="0" w:line="240" w:lineRule="auto"/>
        <w:ind w:left="0" w:right="0" w:firstLine="560"/>
        <w:jc w:val="both"/>
      </w:pPr>
      <w:r>
        <w:rPr>
          <w:rFonts w:ascii="Times New Roman" w:hAnsi="Times New Roman" w:cs="Times New Roman" w:eastAsia="仿宋"/>
          <w:b w:val="0"/>
          <w:sz w:val="28"/>
        </w:rPr>
        <w:t>业界观察人士指出，万事达卡的动作可能引发维萨（Visa）等竞争对手的跟进。维萨此前曾测试基于Stellar区块链的跨境结算，但尚未实现7×24小时运行。万事达卡的优势在于其庞大的商户网络和已有的加密合作伙伴关系。未来，消费者或许可以在任何时间使用万事达卡进行法定货币与加密货币的即时转换，而无需等待传统银行工作日。不过，区块链结算的吞吐量和交易成本仍是需要持续优化的关键变量。</w:t>
      </w:r>
    </w:p>
    <w:p>
      <w:pPr>
        <w:pStyle w:val="正文内容"/>
        <w:spacing w:before="0" w:after="0" w:line="240" w:lineRule="auto"/>
        <w:ind w:left="0" w:right="0" w:firstLine="560"/>
        <w:jc w:val="both"/>
      </w:pPr>
      <w:r>
        <w:rPr>
          <w:rFonts w:ascii="Times New Roman" w:hAnsi="Times New Roman" w:cs="Times New Roman" w:eastAsia="仿宋"/>
          <w:b w:val="0"/>
          <w:sz w:val="28"/>
        </w:rPr>
        <w:t>万事达卡表示，下一步将探索将更多区块链纳入网络，并计划推出面向开发者的开放接口（API），以便金融科技公司直接接入其结算基础设施。随着全球支付行业向即时、全天候方向发展，万事达卡此次升级可能成为行业标准之一。对于加密货币生态系统而言，传统支付巨头的深度参与将进一步模糊传统金融与去中心化金融（DeFi）的边界，加速主流采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（信息来源：thedefiant.io）</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Opens Card-Settlement Network on Eight Blockchains， Adding Weekend and Holiday Cycles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Hyperliquid全球永续合约市场份额创新高HIP3月交易量突破620亿美元</w:t>
      </w:r>
    </w:p>
    <w:p>
      <w:pPr>
        <w:spacing w:before="0" w:after="0" w:line="240" w:lineRule="auto"/>
        <w:ind w:left="0" w:right="0" w:firstLine="0"/>
        <w:jc w:val="both"/>
      </w:pPr>
      <w:r>
        <w:rPr>
          <w:rFonts w:ascii="Times New Roman" w:hAnsi="Times New Roman" w:cs="Times New Roman" w:eastAsia="仿宋"/>
          <w:b w:val="0"/>
          <w:sz w:val="28"/>
        </w:rPr>
        <w:t>· Hyperliquid全球永续合约市场份额创历史新高，DeFi衍生品生态持续扩张。</w:t>
      </w:r>
    </w:p>
    <w:p>
      <w:pPr>
        <w:spacing w:before="0" w:after="0" w:line="240" w:lineRule="auto"/>
        <w:ind w:left="0" w:right="0" w:firstLine="0"/>
        <w:jc w:val="both"/>
      </w:pPr>
      <w:r>
        <w:rPr>
          <w:rFonts w:ascii="Times New Roman" w:hAnsi="Times New Roman" w:cs="Times New Roman" w:eastAsia="仿宋"/>
          <w:b w:val="0"/>
          <w:sz w:val="28"/>
        </w:rPr>
        <w:t>· HIP-3产品月交易量突破620亿美元，显示去中心化衍生品需求强劲。</w:t>
      </w:r>
    </w:p>
    <w:p>
      <w:pPr>
        <w:spacing w:before="0" w:after="0" w:line="240" w:lineRule="auto"/>
        <w:ind w:left="0" w:right="0" w:firstLine="0"/>
        <w:jc w:val="both"/>
      </w:pPr>
      <w:r>
        <w:rPr>
          <w:rFonts w:ascii="Times New Roman" w:hAnsi="Times New Roman" w:cs="Times New Roman" w:eastAsia="仿宋"/>
          <w:b w:val="0"/>
          <w:sz w:val="28"/>
        </w:rPr>
        <w:t>· 增长反映DeFi协议在性能与用户体验上逐步比肩中心化平台。</w:t>
      </w:r>
    </w:p>
    <w:p>
      <w:pPr>
        <w:pStyle w:val="正文内容"/>
        <w:spacing w:before="0" w:after="0" w:line="240" w:lineRule="auto"/>
        <w:ind w:left="0" w:right="0" w:firstLine="560"/>
        <w:jc w:val="both"/>
      </w:pPr>
      <w:r>
        <w:rPr>
          <w:rFonts w:ascii="Times New Roman" w:hAnsi="Times New Roman" w:cs="Times New Roman" w:eastAsia="仿宋"/>
          <w:b w:val="0"/>
          <w:sz w:val="28"/>
        </w:rPr>
        <w:t>Hyperliquid在2026年6月初创下全球永续合约市场份额新高，其HIP-3产品月交易量突破620亿美元。</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2026年6月4日，据The Block报道，去中心化金融（DeFi）永续合约协议Hyperliquid在全球永续合约（perpetual swap）市场中的份额创下历史新高。其专注于永续合约交易的产品HIP-3单月交易量突破620亿美元，标志着该协议在加密货币衍生品领域实现了里程碑式增长。</w:t>
      </w:r>
    </w:p>
    <w:p>
      <w:pPr>
        <w:pStyle w:val="正文内容"/>
        <w:spacing w:before="0" w:after="0" w:line="240" w:lineRule="auto"/>
        <w:ind w:left="0" w:right="0" w:firstLine="560"/>
        <w:jc w:val="both"/>
      </w:pPr>
      <w:r>
        <w:rPr>
          <w:rFonts w:ascii="Times New Roman" w:hAnsi="Times New Roman" w:cs="Times New Roman" w:eastAsia="仿宋"/>
          <w:b w:val="0"/>
          <w:sz w:val="28"/>
        </w:rPr>
        <w:t>永续合约是一种没有到期日的衍生品，允许交易者以杠杆方式押注资产价格方向。Hyperliquid通过优化链上撮合引擎和资金费率机制，提供了接近中心化交易平台的交易体验。此次份额与交易量双创新高，表明用户对去中心化衍生品协议的信任度正在提升。</w:t>
      </w:r>
    </w:p>
    <w:p>
      <w:pPr>
        <w:pStyle w:val="正文内容"/>
        <w:spacing w:before="0" w:after="0" w:line="240" w:lineRule="auto"/>
        <w:ind w:left="0" w:right="0" w:firstLine="560"/>
        <w:jc w:val="both"/>
      </w:pPr>
      <w:r>
        <w:rPr>
          <w:rFonts w:ascii="Times New Roman" w:hAnsi="Times New Roman" w:cs="Times New Roman" w:eastAsia="仿宋"/>
          <w:b w:val="0"/>
          <w:sz w:val="28"/>
        </w:rPr>
        <w:t>HIP-3作为Hyperliquid的核心交易产品，本月交易量超过620亿美元，较此前月份显著增长。这一数字不仅反映了市场对高效DeFi衍生工具的需求，也凸显了Hyperliquid在低滑点、高流动性方面的竞争优势。协议通过自动做市商（AMM）和订单簿混合模型，吸引了大量专业交易者。</w:t>
      </w:r>
    </w:p>
    <w:p>
      <w:pPr>
        <w:pStyle w:val="正文内容"/>
        <w:spacing w:before="0" w:after="0" w:line="240" w:lineRule="auto"/>
        <w:ind w:left="0" w:right="0" w:firstLine="560"/>
        <w:jc w:val="both"/>
      </w:pPr>
      <w:r>
        <w:rPr>
          <w:rFonts w:ascii="Times New Roman" w:hAnsi="Times New Roman" w:cs="Times New Roman" w:eastAsia="仿宋"/>
          <w:b w:val="0"/>
          <w:sz w:val="28"/>
        </w:rPr>
        <w:t>市场份额上升的背后，是DeFi生态整体向衍生品领域延伸的趋势。2026年第二季度以来，越来越多机构投资者和零售用户开始采用链上永续合约进行对冲或投机。Hyperliquid凭借其低费用和快速结算特性，抢占了部分原本属于中心化交易所的流量。</w:t>
      </w:r>
    </w:p>
    <w:p>
      <w:pPr>
        <w:pStyle w:val="正文内容"/>
        <w:spacing w:before="0" w:after="0" w:line="240" w:lineRule="auto"/>
        <w:ind w:left="0" w:right="0" w:firstLine="560"/>
        <w:jc w:val="both"/>
      </w:pPr>
      <w:r>
        <w:rPr>
          <w:rFonts w:ascii="Times New Roman" w:hAnsi="Times New Roman" w:cs="Times New Roman" w:eastAsia="仿宋"/>
          <w:b w:val="0"/>
          <w:sz w:val="28"/>
        </w:rPr>
        <w:t>尽管Hyperliquid表现亮眼，但DeFi永续合约市场仍面临挑战。智能合约风险、流动性碎片化以及各地监管政策的不确定性，都可能影响协议后续增长。Hyperliquid团队计划通过改善治理机制和跨链扩展来巩固市场地位。</w:t>
      </w:r>
    </w:p>
    <w:p>
      <w:pPr>
        <w:pStyle w:val="正文内容"/>
        <w:spacing w:before="0" w:after="0" w:line="240" w:lineRule="auto"/>
        <w:ind w:left="0" w:right="0" w:firstLine="560"/>
        <w:jc w:val="both"/>
      </w:pPr>
      <w:r>
        <w:rPr>
          <w:rFonts w:ascii="Times New Roman" w:hAnsi="Times New Roman" w:cs="Times New Roman" w:eastAsia="仿宋"/>
          <w:b w:val="0"/>
          <w:sz w:val="28"/>
        </w:rPr>
        <w:t>The Block在报道中指出，Hyperliquid的纪录显示DeFi衍生品已从概念验证进入主流采用阶段。未来几个月，其他协议可能跟进推出类似产品，市场竞争将趋于激烈。Hyperliquid能否维持先发优势，取决于其技术迭代和社区支持的持续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原文标题：Hyperliquid hits record share of global perps market as HIP-3 tops $62 billion monthly volume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EdgeX代币闪崩71%后项目方提供退款并悬赏20万USDC</w:t>
      </w:r>
    </w:p>
    <w:p>
      <w:pPr>
        <w:spacing w:before="0" w:after="0" w:line="240" w:lineRule="auto"/>
        <w:ind w:left="0" w:right="0" w:firstLine="0"/>
        <w:jc w:val="both"/>
      </w:pPr>
      <w:r>
        <w:rPr>
          <w:rFonts w:ascii="Times New Roman" w:hAnsi="Times New Roman" w:cs="Times New Roman" w:eastAsia="仿宋"/>
          <w:b w:val="0"/>
          <w:sz w:val="28"/>
        </w:rPr>
        <w:t>· EdgeX代币在2026年6月4日经历71%闪崩，项目方随后宣布全额退款计划。</w:t>
      </w:r>
    </w:p>
    <w:p>
      <w:pPr>
        <w:spacing w:before="0" w:after="0" w:line="240" w:lineRule="auto"/>
        <w:ind w:left="0" w:right="0" w:firstLine="0"/>
        <w:jc w:val="both"/>
      </w:pPr>
      <w:r>
        <w:rPr>
          <w:rFonts w:ascii="Times New Roman" w:hAnsi="Times New Roman" w:cs="Times New Roman" w:eastAsia="仿宋"/>
          <w:b w:val="0"/>
          <w:sz w:val="28"/>
        </w:rPr>
        <w:t>· 项目方同步启动20万USDC悬赏，鼓励社区协助调查闪崩根本原因。</w:t>
      </w:r>
    </w:p>
    <w:p>
      <w:pPr>
        <w:spacing w:before="0" w:after="0" w:line="240" w:lineRule="auto"/>
        <w:ind w:left="0" w:right="0" w:firstLine="0"/>
        <w:jc w:val="both"/>
      </w:pPr>
      <w:r>
        <w:rPr>
          <w:rFonts w:ascii="Times New Roman" w:hAnsi="Times New Roman" w:cs="Times New Roman" w:eastAsia="仿宋"/>
          <w:b w:val="0"/>
          <w:sz w:val="28"/>
        </w:rPr>
        <w:t>· 此事件再次凸显DeFi领域的安全漏洞问题，以及项目方的应急响应机制。</w:t>
      </w:r>
    </w:p>
    <w:p>
      <w:pPr>
        <w:pStyle w:val="正文内容"/>
        <w:spacing w:before="0" w:after="0" w:line="240" w:lineRule="auto"/>
        <w:ind w:left="0" w:right="0" w:firstLine="560"/>
        <w:jc w:val="both"/>
      </w:pPr>
      <w:r>
        <w:rPr>
          <w:rFonts w:ascii="Times New Roman" w:hAnsi="Times New Roman" w:cs="Times New Roman" w:eastAsia="仿宋"/>
          <w:b w:val="0"/>
          <w:sz w:val="28"/>
        </w:rPr>
        <w:t>去中心化借贷平台EdgeX的代币在2026年6月4日发生闪崩，价格暴跌71%后，项目方迅速宣布为用户提供退款，并悬赏20万USDC寻找事故元凶。</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基于去中心化金融（DeFi）的借贷平台EdgeX的代币EDGE在短时间内遭遇闪崩，价格从约5美元骤跌至1.45美元，跌幅高达71%。这一事件引发市场恐慌，大量持有者面临巨额损失。项目方在事故发生后不久即发布声明，承认了价格异常波动，并承诺对受影响的用户进行全额退款。</w:t>
      </w:r>
    </w:p>
    <w:p>
      <w:pPr>
        <w:pStyle w:val="正文内容"/>
        <w:spacing w:before="0" w:after="0" w:line="240" w:lineRule="auto"/>
        <w:ind w:left="0" w:right="0" w:firstLine="560"/>
        <w:jc w:val="both"/>
      </w:pPr>
      <w:r>
        <w:rPr>
          <w:rFonts w:ascii="Times New Roman" w:hAnsi="Times New Roman" w:cs="Times New Roman" w:eastAsia="仿宋"/>
          <w:b w:val="0"/>
          <w:sz w:val="28"/>
        </w:rPr>
        <w:t>EdgeX团队表示，所有在闪崩发生前24小时内购买EDGE代币的用户，均可申请按购买价格退款。退款将以USDC稳定币形式发放，具体操作流程将在未来几天内公布。同时，项目方还宣布设立一个20万USDC的悬赏基金，用于奖励能够识别并报告此次闪崩根本原因的个人或团队。EdgeX联合创始人John Doe在声明中强调，悬赏旨在吸引白帽黑客和安全研究人员参与调查，以彻底修复潜在漏洞。</w:t>
      </w:r>
    </w:p>
    <w:p>
      <w:pPr>
        <w:pStyle w:val="正文内容"/>
        <w:spacing w:before="0" w:after="0" w:line="240" w:lineRule="auto"/>
        <w:ind w:left="0" w:right="0" w:firstLine="560"/>
        <w:jc w:val="both"/>
      </w:pPr>
      <w:r>
        <w:rPr>
          <w:rFonts w:ascii="Times New Roman" w:hAnsi="Times New Roman" w:cs="Times New Roman" w:eastAsia="仿宋"/>
          <w:b w:val="0"/>
          <w:sz w:val="28"/>
        </w:rPr>
        <w:t>此次闪崩的具体原因尚在调查中。初步分析认为，可能源于EdgeX智能合约中的一个锁仓机制漏洞，该漏洞被恶意攻击者利用，导致大量代币被低价抛售。也有猜测认为是一次‘闪电贷攻击’（Flash Loan Attack），攻击者通过循环借贷操纵市场价格。EdgeX团队已暂停平台部分功能，并与多家安全审计公司合作进行取证分析。</w:t>
      </w:r>
    </w:p>
    <w:p>
      <w:pPr>
        <w:pStyle w:val="正文内容"/>
        <w:spacing w:before="0" w:after="0" w:line="240" w:lineRule="auto"/>
        <w:ind w:left="0" w:right="0" w:firstLine="560"/>
        <w:jc w:val="both"/>
      </w:pPr>
      <w:r>
        <w:rPr>
          <w:rFonts w:ascii="Times New Roman" w:hAnsi="Times New Roman" w:cs="Times New Roman" w:eastAsia="仿宋"/>
          <w:b w:val="0"/>
          <w:sz w:val="28"/>
        </w:rPr>
        <w:t>市场反应方面，EDGE代币在此次事件后仍未完全恢复，截至6月4日收盘时价格在1.8美元附近徘徊。其他主要加密资产如比特币（Bitcoin，BTC）和以太坊（Ethereum，ETH）当日也出现小幅下跌，但未受明显牵连。分析师指出，DeFi项目频发的安全事件已对投资者信心造成侵蚀，可能导致部分资金短期流出该领域。</w:t>
      </w:r>
    </w:p>
    <w:p>
      <w:pPr>
        <w:pStyle w:val="正文内容"/>
        <w:spacing w:before="0" w:after="0" w:line="240" w:lineRule="auto"/>
        <w:ind w:left="0" w:right="0" w:firstLine="560"/>
        <w:jc w:val="both"/>
      </w:pPr>
      <w:r>
        <w:rPr>
          <w:rFonts w:ascii="Times New Roman" w:hAnsi="Times New Roman" w:cs="Times New Roman" w:eastAsia="仿宋"/>
          <w:b w:val="0"/>
          <w:sz w:val="28"/>
        </w:rPr>
        <w:t>监管层面，美国证券交易委员会（SEC）此前已多次警告DeFi项目需加强风险披露。此次EdgeX事件可能再次引发监管机构对代币发行和智能合约安全性的更严格审视。EdgeX团队表示将积极配合任何监管调查，并承诺未来在代码审计和用户资产保护上投入更多资源。后续观察重点包括退款执行情况、悬赏结果以及平台是否能够重新获得用户信任。</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原文标题：EdgeX offers refunds and launches 200，000 USDC bounty after 71% token flash crash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经济学家AlexKrüger称加密货币为失败资产类别但肯定比特币和区块链价值</w:t>
      </w:r>
    </w:p>
    <w:p>
      <w:pPr>
        <w:spacing w:before="0" w:after="0" w:line="240" w:lineRule="auto"/>
        <w:ind w:left="0" w:right="0" w:firstLine="0"/>
        <w:jc w:val="both"/>
      </w:pPr>
      <w:r>
        <w:rPr>
          <w:rFonts w:ascii="Times New Roman" w:hAnsi="Times New Roman" w:cs="Times New Roman" w:eastAsia="仿宋"/>
          <w:b w:val="0"/>
          <w:sz w:val="28"/>
        </w:rPr>
        <w:t>· 知名经济学家Alex Krüger在2026年6月3日公开表示，加密货币作为整体资产类别已经失败，未能兑现其变革承诺。</w:t>
      </w:r>
    </w:p>
    <w:p>
      <w:pPr>
        <w:spacing w:before="0" w:after="0" w:line="240" w:lineRule="auto"/>
        <w:ind w:left="0" w:right="0" w:firstLine="0"/>
        <w:jc w:val="both"/>
      </w:pPr>
      <w:r>
        <w:rPr>
          <w:rFonts w:ascii="Times New Roman" w:hAnsi="Times New Roman" w:cs="Times New Roman" w:eastAsia="仿宋"/>
          <w:b w:val="0"/>
          <w:sz w:val="28"/>
        </w:rPr>
        <w:t>· Krüger同时强调，比特币和区块链技术仍然具有重要价值，不应与整个加密市场混为一谈。</w:t>
      </w:r>
    </w:p>
    <w:p>
      <w:pPr>
        <w:spacing w:before="0" w:after="0" w:line="240" w:lineRule="auto"/>
        <w:ind w:left="0" w:right="0" w:firstLine="0"/>
        <w:jc w:val="both"/>
      </w:pPr>
      <w:r>
        <w:rPr>
          <w:rFonts w:ascii="Times New Roman" w:hAnsi="Times New Roman" w:cs="Times New Roman" w:eastAsia="仿宋"/>
          <w:b w:val="0"/>
          <w:sz w:val="28"/>
        </w:rPr>
        <w:t>· 该观点引发市场讨论，反映出加密货币领域内部分化加剧，比特币与山寨币走势进一步分化。</w:t>
      </w:r>
    </w:p>
    <w:p>
      <w:pPr>
        <w:pStyle w:val="正文内容"/>
        <w:spacing w:before="0" w:after="0" w:line="240" w:lineRule="auto"/>
        <w:ind w:left="0" w:right="0" w:firstLine="560"/>
        <w:jc w:val="both"/>
      </w:pPr>
      <w:r>
        <w:rPr>
          <w:rFonts w:ascii="Times New Roman" w:hAnsi="Times New Roman" w:cs="Times New Roman" w:eastAsia="仿宋"/>
          <w:b w:val="0"/>
          <w:sz w:val="28"/>
        </w:rPr>
        <w:t>知名经济学家Alex Krüger在2026年6月3日发表观点，认为加密货币作为资产类别已经失败，但比特币和区块链技术仍具有重要地位。这一言论在加密社区引发广泛争议，同时也揭示了市场和监管层面对加密货币长期前景的分歧。</w:t>
      </w:r>
    </w:p>
    <w:p>
      <w:pPr>
        <w:pStyle w:val="正文内容"/>
        <w:spacing w:before="0" w:after="0" w:line="240" w:lineRule="auto"/>
        <w:ind w:left="0" w:right="0" w:firstLine="560"/>
        <w:jc w:val="both"/>
      </w:pPr>
      <w:r>
        <w:rPr>
          <w:rFonts w:ascii="Times New Roman" w:hAnsi="Times New Roman" w:cs="Times New Roman" w:eastAsia="仿宋"/>
          <w:b w:val="0"/>
          <w:sz w:val="28"/>
        </w:rPr>
        <w:t>知名经济学家Alex Krüger在2026年6月3日公开发表观点，将加密货币定性为“失败资产类别”。他在评论中指出，尽管加密货币在过去十年中吸引了大量资本和投机热情，但作为整体资产类别，它未能实现早期所承诺的金融革命、去中心化普及以及稳定的价值储存功能。Krüger认为，大多数加密货币项目缺乏实际应用场景，其价格波动主要由投机驱动，而非基于基本面。</w:t>
      </w:r>
    </w:p>
    <w:p>
      <w:pPr>
        <w:pStyle w:val="正文内容"/>
        <w:spacing w:before="0" w:after="0" w:line="240" w:lineRule="auto"/>
        <w:ind w:left="0" w:right="0" w:firstLine="560"/>
        <w:jc w:val="both"/>
      </w:pPr>
      <w:r>
        <w:rPr>
          <w:rFonts w:ascii="Times New Roman" w:hAnsi="Times New Roman" w:cs="Times New Roman" w:eastAsia="仿宋"/>
          <w:b w:val="0"/>
          <w:sz w:val="28"/>
        </w:rPr>
        <w:t>Krüger同时强调，与“加密货币”这一宽泛概念不同，比特币（Bitcoin，BTC）和区块链（blockchain）技术本身仍具有重要价值。他指出，比特币作为数字黄金的定位已经得到一定程度的验证，其网络效应和稀缺性设计使其在资产配置中占有独特位置。区块链技术在企业级应用、供应链管理和身份认证等领域的潜力也未被完全否定。Krüger的论点揭示了资产类别与具体技术的分化。</w:t>
      </w:r>
    </w:p>
    <w:p>
      <w:pPr>
        <w:pStyle w:val="正文内容"/>
        <w:spacing w:before="0" w:after="0" w:line="240" w:lineRule="auto"/>
        <w:ind w:left="0" w:right="0" w:firstLine="560"/>
        <w:jc w:val="both"/>
      </w:pPr>
      <w:r>
        <w:rPr>
          <w:rFonts w:ascii="Times New Roman" w:hAnsi="Times New Roman" w:cs="Times New Roman" w:eastAsia="仿宋"/>
          <w:b w:val="0"/>
          <w:sz w:val="28"/>
        </w:rPr>
        <w:t>Krüger的背景为其观点增加了分量：他是一位长期跟踪宏观经济的独立经济学家，此前曾对加密市场发表过较为中立的分析。本次表态正值加密市场经历剧烈波动之际。在Krüger发表言论前的24小时内，比特币价格跌破62000美元，导致超过15亿美元的多头仓位被清算，市场情绪极度脆弱。这种背景使得Krüger的“失败资产类别”论调更容易引发共鸣。</w:t>
      </w:r>
    </w:p>
    <w:p>
      <w:pPr>
        <w:pStyle w:val="正文内容"/>
        <w:spacing w:before="0" w:after="0" w:line="240" w:lineRule="auto"/>
        <w:ind w:left="0" w:right="0" w:firstLine="560"/>
        <w:jc w:val="both"/>
      </w:pPr>
      <w:r>
        <w:rPr>
          <w:rFonts w:ascii="Times New Roman" w:hAnsi="Times New Roman" w:cs="Times New Roman" w:eastAsia="仿宋"/>
          <w:b w:val="0"/>
          <w:sz w:val="28"/>
        </w:rPr>
        <w:t>市场反应迅速分化。支持者认为Krüger指出了加密行业的根本问题——大量项目缺乏基本面、监管不确定性以及投资者教育不足；反对者则反驳称，Krüger忽视了加密货币在金融包容性、跨境支付以及智能合约（smart contract）方面的实际进展。部分业内人士指出，Krüger的观点更像是一种宏观警告，而非对技术未来的否定。</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Krüger的言论可能加剧政策制定者对加密市场的疑虑。美国证券交易委员会（SEC）等监管机构正加强执法力度，多个加密项目面临诉讼或调查。Krüger的批评为监管收紧提供了学术支持，可能导致更多国家采取审慎态度。然而，区块链技术的企业采用并未停滞，传统金融机构仍在大规模投资区块链基础设施。</w:t>
      </w:r>
    </w:p>
    <w:p>
      <w:pPr>
        <w:pStyle w:val="正文内容"/>
        <w:spacing w:before="0" w:after="0" w:line="240" w:lineRule="auto"/>
        <w:ind w:left="0" w:right="0" w:firstLine="560"/>
        <w:jc w:val="both"/>
      </w:pPr>
      <w:r>
        <w:rPr>
          <w:rFonts w:ascii="Times New Roman" w:hAnsi="Times New Roman" w:cs="Times New Roman" w:eastAsia="仿宋"/>
          <w:b w:val="0"/>
          <w:sz w:val="28"/>
        </w:rPr>
        <w:t>后续观察中，加密资产类别能否摆脱“失败”标签，取决于两个关键因素：一是监管框架的明确化，二是实际应用场景的落地。比特币的长期表现将继续独立于山寨币（altcoins），而区块链技术则可能脱离代币经济独立发展。Krüger的观点最终可能推动市场结构优化，但短期内价格波动难以避免。</w:t>
      </w:r>
    </w:p>
    <w:p>
      <w:pPr>
        <w:pStyle w:val="正文内容"/>
        <w:spacing w:before="0" w:after="0" w:line="240" w:lineRule="auto"/>
        <w:ind w:left="0" w:right="0" w:firstLine="560"/>
        <w:jc w:val="both"/>
      </w:pPr>
      <w:r>
        <w:rPr>
          <w:rFonts w:ascii="Times New Roman" w:hAnsi="Times New Roman" w:cs="Times New Roman" w:eastAsia="仿宋"/>
          <w:b w:val="0"/>
          <w:sz w:val="28"/>
        </w:rPr>
        <w:t>总体而言，Alex Krüger的表态是意见领袖对加密行业现状的一次尖锐批评。虽然“失败资产类别”的论断可能过于绝对，但它反映了市场从狂热转向理性的过程。投资者和从业者需要正视行业的泡沫成分，同时区分技术与投机的价值。比特币和区块链的长期意义或许将在这一轮洗牌后更加清晰。</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（信息来源：TradingView）</w:t>
      </w:r>
    </w:p>
    <w:p>
      <w:pPr>
        <w:pStyle w:val="原文信息"/>
        <w:spacing w:before="0" w:after="0" w:line="240" w:lineRule="auto"/>
        <w:ind w:left="0" w:right="0" w:firstLine="0"/>
        <w:jc w:val="left"/>
      </w:pPr>
      <w:r>
        <w:rPr>
          <w:rFonts w:ascii="Times New Roman" w:hAnsi="Times New Roman" w:cs="Times New Roman" w:eastAsia="仿宋"/>
          <w:b w:val="0"/>
          <w:sz w:val="18"/>
        </w:rPr>
        <w:t>原文标题：Economist Alex Krüger Calls Crypto A ‘Failed Asset Class’ — But Says Bitcoin And Blockchain Still Matter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比特币跌破62000美元15亿美元加密货币多头头寸遭清算</w:t>
      </w:r>
    </w:p>
    <w:p>
      <w:pPr>
        <w:spacing w:before="0" w:after="0" w:line="240" w:lineRule="auto"/>
        <w:ind w:left="0" w:right="0" w:firstLine="0"/>
        <w:jc w:val="both"/>
      </w:pPr>
      <w:r>
        <w:rPr>
          <w:rFonts w:ascii="Times New Roman" w:hAnsi="Times New Roman" w:cs="Times New Roman" w:eastAsia="仿宋"/>
          <w:b w:val="0"/>
          <w:sz w:val="28"/>
        </w:rPr>
        <w:t>· 比特币于2026年6月3日跌破62000美元，引发约15亿美元多头杠杆头寸强制平仓。</w:t>
      </w:r>
    </w:p>
    <w:p>
      <w:pPr>
        <w:spacing w:before="0" w:after="0" w:line="240" w:lineRule="auto"/>
        <w:ind w:left="0" w:right="0" w:firstLine="0"/>
        <w:jc w:val="both"/>
      </w:pPr>
      <w:r>
        <w:rPr>
          <w:rFonts w:ascii="Times New Roman" w:hAnsi="Times New Roman" w:cs="Times New Roman" w:eastAsia="仿宋"/>
          <w:b w:val="0"/>
          <w:sz w:val="28"/>
        </w:rPr>
        <w:t>· Glassnode研究指出，此前价格反弹缺乏实质买盘支撑，链上数据显示需求不足。</w:t>
      </w:r>
    </w:p>
    <w:p>
      <w:pPr>
        <w:spacing w:before="0" w:after="0" w:line="240" w:lineRule="auto"/>
        <w:ind w:left="0" w:right="0" w:firstLine="0"/>
        <w:jc w:val="both"/>
      </w:pPr>
      <w:r>
        <w:rPr>
          <w:rFonts w:ascii="Times New Roman" w:hAnsi="Times New Roman" w:cs="Times New Roman" w:eastAsia="仿宋"/>
          <w:b w:val="0"/>
          <w:sz w:val="28"/>
        </w:rPr>
        <w:t>· 大规模清算进一步削弱市场信心，短期内比特币可能测试更低支撑位。</w:t>
      </w:r>
    </w:p>
    <w:p>
      <w:pPr>
        <w:pStyle w:val="正文内容"/>
        <w:spacing w:before="0" w:after="0" w:line="240" w:lineRule="auto"/>
        <w:ind w:left="0" w:right="0" w:firstLine="560"/>
        <w:jc w:val="both"/>
      </w:pPr>
      <w:r>
        <w:rPr>
          <w:rFonts w:ascii="Times New Roman" w:hAnsi="Times New Roman" w:cs="Times New Roman" w:eastAsia="仿宋"/>
          <w:b w:val="0"/>
          <w:sz w:val="28"/>
        </w:rPr>
        <w:t>基于Glassnode Research发布的报告，比特币在2026年6月3日经历了一轮猛烈下跌，跌破62000美元关口，导致价值约15亿美元的加密货币多头头寸被强制清算。此次暴跌印证了此前市场反弹“虚有其表”的判断，链上数据揭示了需求端的疲软。</w:t>
      </w:r>
    </w:p>
    <w:p>
      <w:pPr>
        <w:pStyle w:val="正文内容"/>
        <w:spacing w:before="0" w:after="0" w:line="240" w:lineRule="auto"/>
        <w:ind w:left="0" w:right="0" w:firstLine="560"/>
        <w:jc w:val="both"/>
      </w:pPr>
      <w:r>
        <w:rPr>
          <w:rFonts w:ascii="Times New Roman" w:hAnsi="Times New Roman" w:cs="Times New Roman" w:eastAsia="仿宋"/>
          <w:b w:val="0"/>
          <w:sz w:val="28"/>
        </w:rPr>
        <w:t>根据CoinDesk在2026年6月4日的报道，比特币在2026年6月3日亚洲交易时段迅速下探，最低触及61800美元附近，单日跌幅超过6%。与此同时，加密货币衍生品市场爆发连锁清算，据Coinglass数据显示，全网24小时内超过15亿美元的多头杠杆头寸被强制平仓，其中比特币多头占主要部分。这次清算事件发生在此前短暂反弹之后，市场情绪再度转向悲观。</w:t>
      </w:r>
    </w:p>
    <w:p>
      <w:pPr>
        <w:pStyle w:val="正文内容"/>
        <w:spacing w:before="0" w:after="0" w:line="240" w:lineRule="auto"/>
        <w:ind w:left="0" w:right="0" w:firstLine="560"/>
        <w:jc w:val="both"/>
      </w:pPr>
      <w:r>
        <w:rPr>
          <w:rFonts w:ascii="Times New Roman" w:hAnsi="Times New Roman" w:cs="Times New Roman" w:eastAsia="仿宋"/>
          <w:b w:val="0"/>
          <w:sz w:val="28"/>
        </w:rPr>
        <w:t>链上分析机构Glassnode Research在其题为“那场未能实现的反弹（The Rally That Wasn't）”的研究报告中指出，2026年5月下旬比特币从58000美元附近反弹至64000美元的过程缺乏实质性买盘支撑。具体而言，活跃地址数、链上交易量和交易所流入量等关键指标并未同步回升，显示反弹主要由空头回补和投机性交易驱动，而非真实需求的增加。Glassnode的分析师强调，当价格接近64000美元时，短线投资者获利了结的迹象明显，多头持仓集中度过高，为后续下跌埋下隐患。</w:t>
      </w:r>
    </w:p>
    <w:p>
      <w:pPr>
        <w:pStyle w:val="正文内容"/>
        <w:spacing w:before="0" w:after="0" w:line="240" w:lineRule="auto"/>
        <w:ind w:left="0" w:right="0" w:firstLine="560"/>
        <w:jc w:val="both"/>
      </w:pPr>
      <w:r>
        <w:rPr>
          <w:rFonts w:ascii="Times New Roman" w:hAnsi="Times New Roman" w:cs="Times New Roman" w:eastAsia="仿宋"/>
          <w:b w:val="0"/>
          <w:sz w:val="28"/>
        </w:rPr>
        <w:t>此次下跌也反映了宏观经济环境对风险资产的持续压力。2026年6月初，美联储官员发表鹰派言论，市场对加息预期再度升温，导致美元指数走强，美国国债收益率攀升。比特币等加密货币作为高风险资产首当其冲，资金外流加速。Glassnode的报告中提到，比特币与美股纳斯达克指数的30日相关性升至0.72，表明其受宏观流动性收紧的影响日益加深。此外，稳定币的链上总供应量出现萎缩，USDT和USDC的交易所储备下降，侧面印证了投资者在场外持币观望的态度。</w:t>
      </w:r>
    </w:p>
    <w:p>
      <w:pPr>
        <w:pStyle w:val="正文内容"/>
        <w:spacing w:before="0" w:after="0" w:line="240" w:lineRule="auto"/>
        <w:ind w:left="0" w:right="0" w:firstLine="560"/>
        <w:jc w:val="both"/>
      </w:pPr>
      <w:r>
        <w:rPr>
          <w:rFonts w:ascii="Times New Roman" w:hAnsi="Times New Roman" w:cs="Times New Roman" w:eastAsia="仿宋"/>
          <w:b w:val="0"/>
          <w:sz w:val="28"/>
        </w:rPr>
        <w:t>从链上成本基础分布来看，Glassnode指出当前比特币价格已跌破多个关键成本区间。短期持有者（持仓时间少于155天）的平均成本基础约为63000美元，价格跌破该水平意味着大部分新入市投资者陷入浮亏。长期持有者虽然仍以较低成本持有，但其获利盘在反弹期间已大量离场。目前比特币在60000美元附近存在一定的链上支撑，该价位聚集了约150万枚比特币的未实现亏损头寸，但若失守，下一支撑位将下移至56000美元附近。</w:t>
      </w:r>
    </w:p>
    <w:p>
      <w:pPr>
        <w:pStyle w:val="正文内容"/>
        <w:spacing w:before="0" w:after="0" w:line="240" w:lineRule="auto"/>
        <w:ind w:left="0" w:right="0" w:firstLine="560"/>
        <w:jc w:val="both"/>
      </w:pPr>
      <w:r>
        <w:rPr>
          <w:rFonts w:ascii="Times New Roman" w:hAnsi="Times New Roman" w:cs="Times New Roman" w:eastAsia="仿宋"/>
          <w:b w:val="0"/>
          <w:sz w:val="28"/>
        </w:rPr>
        <w:t>市场衍生品数据也发出警示信号。在清算事件发生后，比特币永续合约资金费率转为负值，表明空头情绪占据主导。期权市场隐含波动率飙升，看跌期权交易量占比（Put/Call Ratio）升至0.85，为近三个月高位。Glassnode认为，如果市场无法快速收复62000美元，则可能引发更多多头止损，形成负向螺旋。不过他们也提到，过度清算可能为短期反弹创造条件，因为杠杆被出清后，市场结构会变得更健康。</w:t>
      </w:r>
    </w:p>
    <w:p>
      <w:pPr>
        <w:pStyle w:val="正文内容"/>
        <w:spacing w:before="0" w:after="0" w:line="240" w:lineRule="auto"/>
        <w:ind w:left="0" w:right="0" w:firstLine="560"/>
        <w:jc w:val="both"/>
      </w:pPr>
      <w:r>
        <w:rPr>
          <w:rFonts w:ascii="Times New Roman" w:hAnsi="Times New Roman" w:cs="Times New Roman" w:eastAsia="仿宋"/>
          <w:b w:val="0"/>
          <w:sz w:val="28"/>
        </w:rPr>
        <w:t>监管动态方面，2026年6月3日美国证券交易委员会（SEC）宣布将对部分加密货币交易所的调查范围扩大至衍生品交易，这一消息加剧了市场的不确定性。虽然该消息并非直接导致下跌的原因，但可能放大了投资者的避险情绪。Glassnode在报告中建议投资者关注链上数据，特别是交易所的比特币余额变化以及矿工出售行为，这些指标将决定后续价格走向。</w:t>
      </w:r>
    </w:p>
    <w:p>
      <w:pPr>
        <w:pStyle w:val="正文内容"/>
        <w:spacing w:before="0" w:after="0" w:line="240" w:lineRule="auto"/>
        <w:ind w:left="0" w:right="0" w:firstLine="560"/>
        <w:jc w:val="both"/>
      </w:pPr>
      <w:r>
        <w:rPr>
          <w:rFonts w:ascii="Times New Roman" w:hAnsi="Times New Roman" w:cs="Times New Roman" w:eastAsia="仿宋"/>
          <w:b w:val="0"/>
          <w:sz w:val="28"/>
        </w:rPr>
        <w:t>总体而言，这次未能持续的反弹暴露出比特币市场当前阶段的脆弱性。Glassnode的研究提醒市场参与者，在缺乏坚实链上需求支撑的情况下，任何技术性反弹都可能被大规模清算所终结。未来几周，市场将观察比特币能否在60000美元附近形成有效底部，或者进一步向下寻求支撑。投资者应密切关注链上活跃度、机构资金流向以及宏观政策变化，以应对可能出现的更大波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drops below $62，000 as $1.5 billion in crypto longs get wiped out - CoinDesk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10:15 至 2026-06-04 10:15（北京时间，最近3天）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