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英美联合金融监管会谈重申支持稳定币与代币化</w:t>
      </w:r>
    </w:p>
    <w:p>
      <w:pPr>
        <w:pStyle w:val="ListParagraph"/>
        <w:spacing w:before="0" w:after="0" w:line="360" w:lineRule="auto"/>
        <w:ind w:left="0" w:firstLine="0"/>
      </w:pPr>
      <w:r>
        <w:rPr>
          <w:rFonts w:ascii="Times New Roman" w:hAnsi="Times New Roman" w:cs="Times New Roman" w:eastAsia="楷体"/>
          <w:b w:val="0"/>
          <w:sz w:val="28"/>
        </w:rPr>
        <w:t>· 印度扩展全球税收报告规则覆盖加密资产、央行数字货币与数字货币</w:t>
      </w:r>
    </w:p>
    <w:p>
      <w:pPr>
        <w:pStyle w:val="ListParagraph"/>
        <w:spacing w:before="0" w:after="0" w:line="360" w:lineRule="auto"/>
        <w:ind w:left="0" w:firstLine="0"/>
      </w:pPr>
      <w:r>
        <w:rPr>
          <w:rFonts w:ascii="Times New Roman" w:hAnsi="Times New Roman" w:cs="Times New Roman" w:eastAsia="楷体"/>
          <w:b w:val="0"/>
          <w:sz w:val="28"/>
        </w:rPr>
        <w:t>· 南非立法者提出跨境加密货币交易草案规则</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XRP持有者现可凭FXRP抵押在以太坊借入RLUSD</w:t>
      </w:r>
    </w:p>
    <w:p>
      <w:pPr>
        <w:pStyle w:val="ListParagraph"/>
        <w:spacing w:before="0" w:after="0" w:line="360" w:lineRule="auto"/>
        <w:ind w:left="0" w:firstLine="0"/>
      </w:pPr>
      <w:r>
        <w:rPr>
          <w:rFonts w:ascii="Times New Roman" w:hAnsi="Times New Roman" w:cs="Times New Roman" w:eastAsia="楷体"/>
          <w:b w:val="0"/>
          <w:sz w:val="28"/>
        </w:rPr>
        <w:t>· 富国银行拟向企业客户推出代币化存款</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资产难有起色Hashdex将关闭比特币ETF</w:t>
      </w:r>
    </w:p>
    <w:p>
      <w:pPr>
        <w:pStyle w:val="ListParagraph"/>
        <w:spacing w:before="0" w:after="0" w:line="360" w:lineRule="auto"/>
        <w:ind w:left="0" w:firstLine="0"/>
      </w:pPr>
      <w:r>
        <w:rPr>
          <w:rFonts w:ascii="Times New Roman" w:hAnsi="Times New Roman" w:cs="Times New Roman" w:eastAsia="楷体"/>
          <w:b w:val="0"/>
          <w:sz w:val="28"/>
        </w:rPr>
        <w:t>· ArkInvest在Coinbase大跌逾14%后买入800万美元同时增持Circle、减持Solmate</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Ledger称Coldcard漏洞显示比特币钱包安全必须适应人工智能（AI）</w:t>
      </w:r>
    </w:p>
    <w:p>
      <w:pPr>
        <w:pStyle w:val="ListParagraph"/>
        <w:spacing w:before="0" w:after="0" w:line="360" w:lineRule="auto"/>
        <w:ind w:left="0" w:firstLine="0"/>
      </w:pPr>
      <w:r>
        <w:rPr>
          <w:rFonts w:ascii="Times New Roman" w:hAnsi="Times New Roman" w:cs="Times New Roman" w:eastAsia="楷体"/>
          <w:b w:val="0"/>
          <w:sz w:val="28"/>
        </w:rPr>
        <w:t>· Bernstein德州电网暂停令不会对比特币矿工产生重大影响</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英美联合金融监管会谈重申支持稳定币与代币化</w:t>
      </w:r>
    </w:p>
    <w:p>
      <w:pPr>
        <w:spacing w:before="0" w:after="0" w:line="240" w:lineRule="auto"/>
        <w:ind w:left="0" w:right="0" w:firstLine="0"/>
        <w:jc w:val="both"/>
      </w:pPr>
      <w:r>
        <w:rPr>
          <w:rFonts w:ascii="Times New Roman" w:hAnsi="Times New Roman" w:cs="Times New Roman" w:eastAsia="仿宋"/>
          <w:b w:val="0"/>
          <w:sz w:val="28"/>
        </w:rPr>
        <w:t>· 英美金融监管工作组第13次会议于7月8日在伦敦举行，议题涵盖稳定币监管、代币化及数字资产市场结构等。</w:t>
      </w:r>
    </w:p>
    <w:p>
      <w:pPr>
        <w:spacing w:before="0" w:after="0" w:line="240" w:lineRule="auto"/>
        <w:ind w:left="0" w:right="0" w:firstLine="0"/>
        <w:jc w:val="both"/>
      </w:pPr>
      <w:r>
        <w:rPr>
          <w:rFonts w:ascii="Times New Roman" w:hAnsi="Times New Roman" w:cs="Times New Roman" w:eastAsia="仿宋"/>
          <w:b w:val="0"/>
          <w:sz w:val="28"/>
        </w:rPr>
        <w:t>· 8月4日联合声明显示，美方通报《GENIUS法案》实施进展，双方还讨论支付现代化与G20跨境支付路线图。</w:t>
      </w:r>
    </w:p>
    <w:p>
      <w:pPr>
        <w:spacing w:before="0" w:after="0" w:line="240" w:lineRule="auto"/>
        <w:ind w:left="0" w:right="0" w:firstLine="0"/>
        <w:jc w:val="both"/>
      </w:pPr>
      <w:r>
        <w:rPr>
          <w:rFonts w:ascii="Times New Roman" w:hAnsi="Times New Roman" w:cs="Times New Roman" w:eastAsia="仿宋"/>
          <w:b w:val="0"/>
          <w:sz w:val="28"/>
        </w:rPr>
        <w:t>· 会议未出台新政策，但重申对负责任的数字资产创新的支持；7月14日跨大西洋未来市场工作组发布初步建议。</w:t>
      </w:r>
    </w:p>
    <w:p>
      <w:pPr>
        <w:pStyle w:val="正文内容"/>
        <w:spacing w:before="0" w:after="0" w:line="240" w:lineRule="auto"/>
        <w:ind w:left="0" w:right="0" w:firstLine="560"/>
        <w:jc w:val="both"/>
      </w:pPr>
      <w:r>
        <w:rPr>
          <w:rFonts w:ascii="Times New Roman" w:hAnsi="Times New Roman" w:cs="Times New Roman" w:eastAsia="仿宋"/>
          <w:b w:val="0"/>
          <w:sz w:val="28"/>
        </w:rPr>
        <w:t>美国与英国在一次双边工作组会议中重申了对更紧密金融监管合作的承诺，这表明双方在数字资产监管政策上继续保持一致。第13次英美金融监管工作组（Financial Regulatory Working Group，FRWG）会议于7月8日在伦敦举行，两国官员在此次会谈中释放出持续协调的信号。美国当局正着手实施具有里程碑意义的稳定币立法。</w:t>
      </w:r>
    </w:p>
    <w:p>
      <w:pPr>
        <w:pStyle w:val="正文内容"/>
        <w:spacing w:before="0" w:after="0" w:line="240" w:lineRule="auto"/>
        <w:ind w:left="0" w:right="0" w:firstLine="560"/>
        <w:jc w:val="both"/>
      </w:pPr>
      <w:r>
        <w:rPr>
          <w:rFonts w:ascii="Times New Roman" w:hAnsi="Times New Roman" w:cs="Times New Roman" w:eastAsia="仿宋"/>
          <w:b w:val="0"/>
          <w:sz w:val="28"/>
        </w:rPr>
        <w:t>会议期间，两国官员围绕稳定币监管、美国数字资产市场结构、代币化以及英国批发金融市场数字战略等议题展开讨论。根据8月4日发布的一份联合声明，美国官员向英国同行通报了《GENIUS法案》（GENIUS Act）的实施进展，以及数字资产市场结构方面的后续工作，该声明对会议成果进行了总结。</w:t>
      </w:r>
    </w:p>
    <w:p>
      <w:pPr>
        <w:pStyle w:val="正文内容"/>
        <w:spacing w:before="0" w:after="0" w:line="240" w:lineRule="auto"/>
        <w:ind w:left="0" w:right="0" w:firstLine="560"/>
        <w:jc w:val="both"/>
      </w:pPr>
      <w:r>
        <w:rPr>
          <w:rFonts w:ascii="Times New Roman" w:hAnsi="Times New Roman" w:cs="Times New Roman" w:eastAsia="仿宋"/>
          <w:b w:val="0"/>
          <w:sz w:val="28"/>
        </w:rPr>
        <w:t>与会者还讨论了支付现代化和二十国集团（G20）跨境支付路线图，后者是一项旨在改善跨境支付的国际倡议。虽然此次会议没有出台新的政策措施，但它凸显了双方在数字资产行业关键领域协调监管的共同承诺。</w:t>
      </w:r>
    </w:p>
    <w:p>
      <w:pPr>
        <w:pStyle w:val="正文内容"/>
        <w:spacing w:before="0" w:after="0" w:line="240" w:lineRule="auto"/>
        <w:ind w:left="0" w:right="0" w:firstLine="560"/>
        <w:jc w:val="both"/>
      </w:pPr>
      <w:r>
        <w:rPr>
          <w:rFonts w:ascii="Times New Roman" w:hAnsi="Times New Roman" w:cs="Times New Roman" w:eastAsia="仿宋"/>
          <w:b w:val="0"/>
          <w:sz w:val="28"/>
        </w:rPr>
        <w:t>声明的整体基调是对“负责任的”数字资产创新持广泛支持态度，同时强调金融稳定和国际监管合作。</w:t>
      </w:r>
    </w:p>
    <w:p>
      <w:pPr>
        <w:pStyle w:val="正文内容"/>
        <w:spacing w:before="0" w:after="0" w:line="240" w:lineRule="auto"/>
        <w:ind w:left="0" w:right="0" w:firstLine="560"/>
        <w:jc w:val="both"/>
      </w:pPr>
      <w:r>
        <w:rPr>
          <w:rFonts w:ascii="Times New Roman" w:hAnsi="Times New Roman" w:cs="Times New Roman" w:eastAsia="仿宋"/>
          <w:b w:val="0"/>
          <w:sz w:val="28"/>
        </w:rPr>
        <w:t>7月14日，跨大西洋未来市场工作组——一个旨在加强金融创新和资本市场合作的英美联合倡议——发布了初步建议以及与稳定币相关的联合声明。两国政府表示，这些措施将为英美继续引领数字资产和资本市场奠定基础。</w:t>
      </w:r>
    </w:p>
    <w:p>
      <w:pPr>
        <w:pStyle w:val="正文内容"/>
        <w:spacing w:before="0" w:after="0" w:line="240" w:lineRule="auto"/>
        <w:ind w:left="0" w:right="0" w:firstLine="560"/>
        <w:jc w:val="both"/>
      </w:pPr>
      <w:r>
        <w:rPr>
          <w:rFonts w:ascii="Times New Roman" w:hAnsi="Times New Roman" w:cs="Times New Roman" w:eastAsia="仿宋"/>
          <w:b w:val="0"/>
          <w:sz w:val="28"/>
        </w:rPr>
        <w:t>英国重新强调稳定币的背景是，一些行业观察人士认为该国正在输给美国。在美国，《GENIUS法案》为受监管的美元稳定币带来了加速动力。英格兰银行也软化了对稳定币监管的立场。据Cointelegraph在5月报道，该行正在考虑临时限制稳定币持有的替代方案，并审查其要求至少40%储备资产以非利息存款形式存放于央行的提议是否限制过度。</w:t>
      </w:r>
    </w:p>
    <w:p>
      <w:pPr>
        <w:pStyle w:val="正文内容"/>
        <w:spacing w:before="0" w:after="0" w:line="240" w:lineRule="auto"/>
        <w:ind w:left="0" w:right="0" w:firstLine="560"/>
        <w:jc w:val="both"/>
      </w:pPr>
      <w:r>
        <w:rPr>
          <w:rFonts w:ascii="Times New Roman" w:hAnsi="Times New Roman" w:cs="Times New Roman" w:eastAsia="仿宋"/>
          <w:b w:val="0"/>
          <w:sz w:val="28"/>
        </w:rPr>
        <w:t>此外，英国金融行为监管局（Financial Conduct Authority，FCA）在今年的早些时候表示，跨境支付是稳定币最清晰的近期用例之一。这一表态突显了监管机构对这一技术潜力的日益认可。</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原文标题：US， UK reaffirm support for stablecoins， tokenization in joint financial regulation talks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原文链接：https://cointelegraph.com/news/us-uk-deepen-crypto-regulatory-cooperation-genius-act-stablecoins</w:t>
      </w:r>
    </w:p>
    <w:p/>
    <w:p>
      <w:pPr>
        <w:pStyle w:val="文章一级标题"/>
        <w:spacing w:before="0" w:after="0" w:line="240" w:lineRule="auto"/>
        <w:ind w:left="0" w:right="0" w:firstLine="0"/>
        <w:jc w:val="center"/>
      </w:pPr>
      <w:r>
        <w:rPr>
          <w:rFonts w:ascii="Times New Roman" w:hAnsi="Times New Roman" w:cs="Times New Roman" w:eastAsia="黑体"/>
          <w:b w:val="0"/>
          <w:sz w:val="30"/>
        </w:rPr>
        <w:t>印度扩展全球税收报告规则覆盖加密资产、央行数字货币与数字货币</w:t>
      </w:r>
    </w:p>
    <w:p>
      <w:pPr>
        <w:spacing w:before="0" w:after="0" w:line="240" w:lineRule="auto"/>
        <w:ind w:left="0" w:right="0" w:firstLine="0"/>
        <w:jc w:val="both"/>
      </w:pPr>
      <w:r>
        <w:rPr>
          <w:rFonts w:ascii="Times New Roman" w:hAnsi="Times New Roman" w:cs="Times New Roman" w:eastAsia="仿宋"/>
          <w:b w:val="0"/>
          <w:sz w:val="28"/>
        </w:rPr>
        <w:t>· 印度政府批准修订《1962年所得税规则》，将OECD的加密资产报告框架（CARF）纳入现有自动信息交换机制，要求报告实体收集并报告指定加密资产交易信息。</w:t>
      </w:r>
    </w:p>
    <w:p>
      <w:pPr>
        <w:spacing w:before="0" w:after="0" w:line="240" w:lineRule="auto"/>
        <w:ind w:left="0" w:right="0" w:firstLine="0"/>
        <w:jc w:val="both"/>
      </w:pPr>
      <w:r>
        <w:rPr>
          <w:rFonts w:ascii="Times New Roman" w:hAnsi="Times New Roman" w:cs="Times New Roman" w:eastAsia="仿宋"/>
          <w:b w:val="0"/>
          <w:sz w:val="28"/>
        </w:rPr>
        <w:t>· 新框架覆盖比特币、以太坊、稳定币、代币化金融资产、分布式账本数字价值表示及央行数字货币（CBDC），显著扩大国际税收报告范围。</w:t>
      </w:r>
    </w:p>
    <w:p>
      <w:pPr>
        <w:spacing w:before="0" w:after="0" w:line="240" w:lineRule="auto"/>
        <w:ind w:left="0" w:right="0" w:firstLine="0"/>
        <w:jc w:val="both"/>
      </w:pPr>
      <w:r>
        <w:rPr>
          <w:rFonts w:ascii="Times New Roman" w:hAnsi="Times New Roman" w:cs="Times New Roman" w:eastAsia="仿宋"/>
          <w:b w:val="0"/>
          <w:sz w:val="28"/>
        </w:rPr>
        <w:t>· 修订未设立新税种，但强化报告义务，与印度现行30%虚拟数字资产利得税和1%源头扣税制度互补；超过60个辖区已承诺实施CARF。</w:t>
      </w:r>
    </w:p>
    <w:p>
      <w:pPr>
        <w:pStyle w:val="正文内容"/>
        <w:spacing w:before="0" w:after="0" w:line="240" w:lineRule="auto"/>
        <w:ind w:left="0" w:right="0" w:firstLine="560"/>
        <w:jc w:val="both"/>
      </w:pPr>
      <w:r>
        <w:rPr>
          <w:rFonts w:ascii="Times New Roman" w:hAnsi="Times New Roman" w:cs="Times New Roman" w:eastAsia="仿宋"/>
          <w:b w:val="0"/>
          <w:sz w:val="28"/>
        </w:rPr>
        <w:t>印度已将其国际税收报告框架扩展至加密货币、央行数字货币（central bank digital currency，CBDC）及其他数字货币产品，以加强其与外国税务当局交换金融信息的能力，因为数字资产正变得越来越全球化。政府已批准对《1962年所得税规则》的修订，将经济合作与发展组织（Organisation for Economic Co-operation and Development，OECD）的加密资产报告框架（Crypto-Asset Reporting Framework，CARF）纳入印度现有的自动信息交换机制。根据修订，报告实体须收集、维护并报告涉及应报告用户的指定加密资产交易信息，使印度当局能够与参与辖区交换这些信息。</w:t>
      </w:r>
    </w:p>
    <w:p>
      <w:pPr>
        <w:pStyle w:val="正文内容"/>
        <w:spacing w:before="0" w:after="0" w:line="240" w:lineRule="auto"/>
        <w:ind w:left="0" w:right="0" w:firstLine="560"/>
        <w:jc w:val="both"/>
      </w:pPr>
      <w:r>
        <w:rPr>
          <w:rFonts w:ascii="Times New Roman" w:hAnsi="Times New Roman" w:cs="Times New Roman" w:eastAsia="仿宋"/>
          <w:b w:val="0"/>
          <w:sz w:val="28"/>
        </w:rPr>
        <w:t>更新后的框架显著扩大了国际税收报告所覆盖的资产范围。除比特币和以太坊等加密货币外，规则还涵盖稳定币、代币化金融资产，以及使用分布式账本技术转移或存储的某些数字价值表示。该框架还视情况纳入央行数字货币的相关信息。此举使印度更接近越来越多的实施CARF的辖区，这些辖区是在G20和OECD将CARF背书为跨境加密税收透明度全球标准后开始落实的。</w:t>
      </w:r>
    </w:p>
    <w:p>
      <w:pPr>
        <w:pStyle w:val="正文内容"/>
        <w:spacing w:before="0" w:after="0" w:line="240" w:lineRule="auto"/>
        <w:ind w:left="0" w:right="0" w:firstLine="560"/>
        <w:jc w:val="both"/>
      </w:pPr>
      <w:r>
        <w:rPr>
          <w:rFonts w:ascii="Times New Roman" w:hAnsi="Times New Roman" w:cs="Times New Roman" w:eastAsia="仿宋"/>
          <w:b w:val="0"/>
          <w:sz w:val="28"/>
        </w:rPr>
        <w:t>根据修订后的规则，报告加密资产服务提供商——包括某些交易所、经纪商和其他中介——必须开展尽职调查，以识别应报告用户并向印度税务当局提交规定信息。报告数据可能包括客户的身份信息、应报告加密交易的详情，以及报告期内所进行转移的价值。税务当局随后可根据现有国际协议与伙伴辖区交换信息，从而帮助识别在境外持有或交易数字资产的纳税人。</w:t>
      </w:r>
    </w:p>
    <w:p>
      <w:pPr>
        <w:pStyle w:val="正文内容"/>
        <w:spacing w:before="0" w:after="0" w:line="240" w:lineRule="auto"/>
        <w:ind w:left="0" w:right="0" w:firstLine="560"/>
        <w:jc w:val="both"/>
      </w:pPr>
      <w:r>
        <w:rPr>
          <w:rFonts w:ascii="Times New Roman" w:hAnsi="Times New Roman" w:cs="Times New Roman" w:eastAsia="仿宋"/>
          <w:b w:val="0"/>
          <w:sz w:val="28"/>
        </w:rPr>
        <w:t>此次修订旨在解决国际税收报告中的一个长期缺口。金融机构多年来已根据共同申报准则（Common Reporting Standard，CRS）交换信息，但许多加密资产因交易可在没有传统银行中介的情况下发生而未被该框架覆盖。通过将报告要求扩展至数字资产，印度力求减少离岸逃税的机会，同时提高日益数字化的金融体系中的透明度。</w:t>
      </w:r>
    </w:p>
    <w:p>
      <w:pPr>
        <w:pStyle w:val="正文内容"/>
        <w:spacing w:before="0" w:after="0" w:line="240" w:lineRule="auto"/>
        <w:ind w:left="0" w:right="0" w:firstLine="560"/>
        <w:jc w:val="both"/>
      </w:pPr>
      <w:r>
        <w:rPr>
          <w:rFonts w:ascii="Times New Roman" w:hAnsi="Times New Roman" w:cs="Times New Roman" w:eastAsia="仿宋"/>
          <w:b w:val="0"/>
          <w:sz w:val="28"/>
        </w:rPr>
        <w:t>在全球范围内，超过60个辖区已承诺实施该框架，其中许多计划在未来几年内开始交换加密相关税务信息。OECD开发CARF，正是出于对数字资产可能通过允许传统银行部门之外的跨境转移来削弱现有自动信息交换系统的担忧。</w:t>
      </w:r>
    </w:p>
    <w:p>
      <w:pPr>
        <w:pStyle w:val="正文内容"/>
        <w:spacing w:before="0" w:after="0" w:line="240" w:lineRule="auto"/>
        <w:ind w:left="0" w:right="0" w:firstLine="560"/>
        <w:jc w:val="both"/>
      </w:pPr>
      <w:r>
        <w:rPr>
          <w:rFonts w:ascii="Times New Roman" w:hAnsi="Times New Roman" w:cs="Times New Roman" w:eastAsia="仿宋"/>
          <w:b w:val="0"/>
          <w:sz w:val="28"/>
        </w:rPr>
        <w:t>此次修订并未对加密货币设立新税种。相反，它们强化了报告和信息共享义务，与印度现行加密税收制度互为补充，该制度包括对虚拟数字资产收益征收30%的税，以及对许多交易按1%税率从源头扣除税款（tax deducted at source，TDS）。</w:t>
      </w:r>
    </w:p>
    <w:p>
      <w:pPr>
        <w:pStyle w:val="正文内容"/>
        <w:spacing w:before="0" w:after="0" w:line="240" w:lineRule="auto"/>
        <w:ind w:left="0" w:right="0" w:firstLine="560"/>
        <w:jc w:val="both"/>
      </w:pPr>
      <w:r>
        <w:rPr>
          <w:rFonts w:ascii="Times New Roman" w:hAnsi="Times New Roman" w:cs="Times New Roman" w:eastAsia="仿宋"/>
          <w:b w:val="0"/>
          <w:sz w:val="28"/>
        </w:rPr>
        <w:t>对加密货币投资者而言，实际影响是随着参与国开始在扩展框架下交换信息，跨境数字资产活动将日益为税务当局所可见。随着世界各国政府寻求填补数字金融中的报告缺口，印度决定将加密资产、CBDC及其他数字货币产品纳入其国际税收报告规则，标志着数字资产正逐渐受到长期适用于传统金融账户的同等透明度标准的约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原文标题：India Expands Global Tax Reporting Rules to Cover Crypto， CBDCs and Digital Money</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原文链接：https://financefeeds.com/india-expands-global-tax-reporting-rules-to-cover-crypto-cbdcs-and-digital-money/</w:t>
      </w:r>
    </w:p>
    <w:p/>
    <w:p>
      <w:pPr>
        <w:pStyle w:val="文章一级标题"/>
        <w:spacing w:before="0" w:after="0" w:line="240" w:lineRule="auto"/>
        <w:ind w:left="0" w:right="0" w:firstLine="0"/>
        <w:jc w:val="center"/>
      </w:pPr>
      <w:r>
        <w:rPr>
          <w:rFonts w:ascii="Times New Roman" w:hAnsi="Times New Roman" w:cs="Times New Roman" w:eastAsia="黑体"/>
          <w:b w:val="0"/>
          <w:sz w:val="30"/>
        </w:rPr>
        <w:t>南非立法者提出跨境加密货币交易草案规则</w:t>
      </w:r>
    </w:p>
    <w:p>
      <w:pPr>
        <w:spacing w:before="0" w:after="0" w:line="240" w:lineRule="auto"/>
        <w:ind w:left="0" w:right="0" w:firstLine="0"/>
        <w:jc w:val="both"/>
      </w:pPr>
      <w:r>
        <w:rPr>
          <w:rFonts w:ascii="Times New Roman" w:hAnsi="Times New Roman" w:cs="Times New Roman" w:eastAsia="仿宋"/>
          <w:b w:val="0"/>
          <w:sz w:val="28"/>
        </w:rPr>
        <w:t>· 南非国家财政部与南非储备银行发布跨境加密货币交易规则草案，要求将加密资产转移至境外必须通过授权提供商进行。</w:t>
      </w:r>
    </w:p>
    <w:p>
      <w:pPr>
        <w:spacing w:before="0" w:after="0" w:line="240" w:lineRule="auto"/>
        <w:ind w:left="0" w:right="0" w:firstLine="0"/>
        <w:jc w:val="both"/>
      </w:pPr>
      <w:r>
        <w:rPr>
          <w:rFonts w:ascii="Times New Roman" w:hAnsi="Times New Roman" w:cs="Times New Roman" w:eastAsia="仿宋"/>
          <w:b w:val="0"/>
          <w:sz w:val="28"/>
        </w:rPr>
        <w:t>· 草案要求将跨境加密交易上报央行金融监管部（FinSurv），以降低监管套利风险并增强对非法资金流动的打击能力。</w:t>
      </w:r>
    </w:p>
    <w:p>
      <w:pPr>
        <w:spacing w:before="0" w:after="0" w:line="240" w:lineRule="auto"/>
        <w:ind w:left="0" w:right="0" w:firstLine="0"/>
        <w:jc w:val="both"/>
      </w:pPr>
      <w:r>
        <w:rPr>
          <w:rFonts w:ascii="Times New Roman" w:hAnsi="Times New Roman" w:cs="Times New Roman" w:eastAsia="仿宋"/>
          <w:b w:val="0"/>
          <w:sz w:val="28"/>
        </w:rPr>
        <w:t>· 两机构征求意见的截止日期为9月30日；草案不会使加密货币成为法定货币，也不区分不同数字资产。</w:t>
      </w:r>
    </w:p>
    <w:p>
      <w:pPr>
        <w:pStyle w:val="正文内容"/>
        <w:spacing w:before="0" w:after="0" w:line="240" w:lineRule="auto"/>
        <w:ind w:left="0" w:right="0" w:firstLine="560"/>
        <w:jc w:val="both"/>
      </w:pPr>
      <w:r>
        <w:rPr>
          <w:rFonts w:ascii="Times New Roman" w:hAnsi="Times New Roman" w:cs="Times New Roman" w:eastAsia="仿宋"/>
          <w:b w:val="0"/>
          <w:sz w:val="28"/>
        </w:rPr>
        <w:t>南非财政部和央行日前发布跨境加密货币交易规则草案，提议通过授权提供商将加密资产转移境外，并上报央行金融监管部。公众意见征询截止日为9月30日。</w:t>
      </w:r>
    </w:p>
    <w:p>
      <w:pPr>
        <w:pStyle w:val="正文内容"/>
        <w:spacing w:before="0" w:after="0" w:line="240" w:lineRule="auto"/>
        <w:ind w:left="0" w:right="0" w:firstLine="560"/>
        <w:jc w:val="both"/>
      </w:pPr>
      <w:r>
        <w:rPr>
          <w:rFonts w:ascii="Times New Roman" w:hAnsi="Times New Roman" w:cs="Times New Roman" w:eastAsia="仿宋"/>
          <w:b w:val="0"/>
          <w:sz w:val="28"/>
        </w:rPr>
        <w:t>南非国家财政部（National Treasury）与南非储备银行（South African Reserve Bank，SARB）正在推进对跨境使用加密货币进行交易的监管。两机构于本周一，也就是8月4日，对外发布了一份规则草案，其中提出，将加密货币转移至境外必须通过授权提供商进行，并向中央银行下属的金融监管部（Financial Surveillance Department，FinSurv）报告。</w:t>
      </w:r>
    </w:p>
    <w:p>
      <w:pPr>
        <w:pStyle w:val="正文内容"/>
        <w:spacing w:before="0" w:after="0" w:line="240" w:lineRule="auto"/>
        <w:ind w:left="0" w:right="0" w:firstLine="560"/>
        <w:jc w:val="both"/>
      </w:pPr>
      <w:r>
        <w:rPr>
          <w:rFonts w:ascii="Times New Roman" w:hAnsi="Times New Roman" w:cs="Times New Roman" w:eastAsia="仿宋"/>
          <w:b w:val="0"/>
          <w:sz w:val="28"/>
        </w:rPr>
        <w:t>这份草案规则书是由南非国家财政部与南非储备银行联合对外发布的。根据草案内容，发送加密资产至海外必须经由授权提供商完成，且相关交易须上报金融监管部。两机构在联合声明中表示，拟议的监管措施旨在将受监管实体在开展跨境业务时的监管套利风险降至最低，并增强金融监管部侦测、威慑并阻断非法资金流动的能力。</w:t>
      </w:r>
    </w:p>
    <w:p>
      <w:pPr>
        <w:pStyle w:val="正文内容"/>
        <w:spacing w:before="0" w:after="0" w:line="240" w:lineRule="auto"/>
        <w:ind w:left="0" w:right="0" w:firstLine="560"/>
        <w:jc w:val="both"/>
      </w:pPr>
      <w:r>
        <w:rPr>
          <w:rFonts w:ascii="Times New Roman" w:hAnsi="Times New Roman" w:cs="Times New Roman" w:eastAsia="仿宋"/>
          <w:b w:val="0"/>
          <w:sz w:val="28"/>
        </w:rPr>
        <w:t>这一草案框架并不会赋予加密货币以法定货币的地位，也不会在规则中对不同类型的数字资产进行区别对待。两机构已邀请感兴趣的相关方就草案内容提出意见，提交意见的截止日期为9月30日。</w:t>
      </w:r>
    </w:p>
    <w:p>
      <w:pPr>
        <w:pStyle w:val="正文内容"/>
        <w:spacing w:before="0" w:after="0" w:line="240" w:lineRule="auto"/>
        <w:ind w:left="0" w:right="0" w:firstLine="560"/>
        <w:jc w:val="both"/>
      </w:pPr>
      <w:r>
        <w:rPr>
          <w:rFonts w:ascii="Times New Roman" w:hAnsi="Times New Roman" w:cs="Times New Roman" w:eastAsia="仿宋"/>
          <w:b w:val="0"/>
          <w:sz w:val="28"/>
        </w:rPr>
        <w:t>拟议中的规则是在国家财政部今年4月发布的一份草案基础上制定的。这份4月草案要求加密资产持有者申报超过一定门槛的资产，并在执法官员提出要求时交出私钥。</w:t>
      </w:r>
    </w:p>
    <w:p>
      <w:pPr>
        <w:pStyle w:val="正文内容"/>
        <w:spacing w:before="0" w:after="0" w:line="240" w:lineRule="auto"/>
        <w:ind w:left="0" w:right="0" w:firstLine="560"/>
        <w:jc w:val="both"/>
      </w:pPr>
      <w:r>
        <w:rPr>
          <w:rFonts w:ascii="Times New Roman" w:hAnsi="Times New Roman" w:cs="Times New Roman" w:eastAsia="仿宋"/>
          <w:b w:val="0"/>
          <w:sz w:val="28"/>
        </w:rPr>
        <w:t>南非之所以推动对加密货币进行监管，其背景是全球正迅速转向可执行、跨境的监管框架。在各个司法辖区，当局均被赋予保护消费者和保障金融体系的任务，往往同时还要支持创新。其结果是，全球范围内形成了政策拼凑的局面。</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原文标题：South African lawmakers propose draft rules on cross-border crypto transactions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原文链接：https://www.coindesk.com/policy/2026/08/04/south-african-lawmakers-propose-draft-rules-on-cross-border-crypto-transactions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XRP持有者现可凭FXRP抵押在以太坊借入RLUSD</w:t>
      </w:r>
    </w:p>
    <w:p>
      <w:pPr>
        <w:spacing w:before="0" w:after="0" w:line="240" w:lineRule="auto"/>
        <w:ind w:left="0" w:right="0" w:firstLine="0"/>
        <w:jc w:val="both"/>
      </w:pPr>
      <w:r>
        <w:rPr>
          <w:rFonts w:ascii="Times New Roman" w:hAnsi="Times New Roman" w:cs="Times New Roman" w:eastAsia="仿宋"/>
          <w:b w:val="0"/>
          <w:sz w:val="28"/>
        </w:rPr>
        <w:t>· XRP持有者现可在以太坊上抵押封装XRP（FXRP）借入RLUSD稳定币，无需出售XRP，该借贷池规模为2.8亿美元，此前从未接受XRP相关资产。</w:t>
      </w:r>
    </w:p>
    <w:p>
      <w:pPr>
        <w:spacing w:before="0" w:after="0" w:line="240" w:lineRule="auto"/>
        <w:ind w:left="0" w:right="0" w:firstLine="0"/>
        <w:jc w:val="both"/>
      </w:pPr>
      <w:r>
        <w:rPr>
          <w:rFonts w:ascii="Times New Roman" w:hAnsi="Times New Roman" w:cs="Times New Roman" w:eastAsia="仿宋"/>
          <w:b w:val="0"/>
          <w:sz w:val="28"/>
        </w:rPr>
        <w:t>· 该批准由管理RLUSD借贷池的Sentora完成，其在机构风险框架下审查了FXRP的市场行为、预言机设计、流动性和清算能力，并开设于Morpho Blue上的隔离市场。</w:t>
      </w:r>
    </w:p>
    <w:p>
      <w:pPr>
        <w:spacing w:before="0" w:after="0" w:line="240" w:lineRule="auto"/>
        <w:ind w:left="0" w:right="0" w:firstLine="0"/>
        <w:jc w:val="both"/>
      </w:pPr>
      <w:r>
        <w:rPr>
          <w:rFonts w:ascii="Times New Roman" w:hAnsi="Times New Roman" w:cs="Times New Roman" w:eastAsia="仿宋"/>
          <w:b w:val="0"/>
          <w:sz w:val="28"/>
        </w:rPr>
        <w:t>· Flare联合创始人兼CEO Hugo Philion表示，XRP是加密资产中规模最大的资产之一，也是DeFi中使用最少的资产之一；Flare正在构建Smart Accounts路径，以简化当前多步流程。</w:t>
      </w:r>
    </w:p>
    <w:p>
      <w:pPr>
        <w:pStyle w:val="正文内容"/>
        <w:spacing w:before="0" w:after="0" w:line="240" w:lineRule="auto"/>
        <w:ind w:left="0" w:right="0" w:firstLine="560"/>
        <w:jc w:val="both"/>
      </w:pPr>
      <w:r>
        <w:rPr>
          <w:rFonts w:ascii="Times New Roman" w:hAnsi="Times New Roman" w:cs="Times New Roman" w:eastAsia="仿宋"/>
          <w:b w:val="0"/>
          <w:sz w:val="28"/>
        </w:rPr>
        <w:t>XRP持有者现在可以在以太坊上以他们的代币作为抵押借入RLUSD，而无需出售，通过一个此前从未接受过XRP相关资产的2.8亿美元的借贷池。该批准由Sentora管理，并在Morpho Blue上开设了隔离市场。</w:t>
      </w:r>
    </w:p>
    <w:p>
      <w:pPr>
        <w:pStyle w:val="正文内容"/>
        <w:spacing w:before="0" w:after="0" w:line="240" w:lineRule="auto"/>
        <w:ind w:left="0" w:right="0" w:firstLine="560"/>
        <w:jc w:val="both"/>
      </w:pPr>
      <w:r>
        <w:rPr>
          <w:rFonts w:ascii="Times New Roman" w:hAnsi="Times New Roman" w:cs="Times New Roman" w:eastAsia="仿宋"/>
          <w:b w:val="0"/>
          <w:sz w:val="28"/>
        </w:rPr>
        <w:t>XRP持有者现在可以在以太坊上借入RLUSD稳定币，而无需出售其持有的XRP。这一功能是通过一个规模达2.8亿美元的借贷池实现的，该池此前从未接受过任何与XRP相关的资产。Flare——一个让XRP在去中心化金融（DeFi）中使用的区块链——于周一告知CoinDesk，其封装版XRP（即FXRP）已被Sentora接受为抵押品，Sentora管理着Ripple的RLUSD稳定币借贷池。</w:t>
      </w:r>
    </w:p>
    <w:p>
      <w:pPr>
        <w:pStyle w:val="正文内容"/>
        <w:spacing w:before="0" w:after="0" w:line="240" w:lineRule="auto"/>
        <w:ind w:left="0" w:right="0" w:firstLine="560"/>
        <w:jc w:val="both"/>
      </w:pPr>
      <w:r>
        <w:rPr>
          <w:rFonts w:ascii="Times New Roman" w:hAnsi="Times New Roman" w:cs="Times New Roman" w:eastAsia="仿宋"/>
          <w:b w:val="0"/>
          <w:sz w:val="28"/>
        </w:rPr>
        <w:t>这一批准在Morpho Blue上开设了一个FXRP/RLUSD隔离市场。该市场允许持有者借用其XRP敞口，而不是将其出售。借款人将封装XRP（称为FXRP）作为抵押品存入，即可借出RLUSD稳定币。该市场无需许可，并且没有白名单要求。Sentora在批准之前按照其机构风险框架审查了FXRP的市场行为、预言机设计、流动性和清算能力，并且该资产将与其他抵押品一样接受持续监控。</w:t>
      </w:r>
    </w:p>
    <w:p>
      <w:pPr>
        <w:pStyle w:val="正文内容"/>
        <w:spacing w:before="0" w:after="0" w:line="240" w:lineRule="auto"/>
        <w:ind w:left="0" w:right="0" w:firstLine="560"/>
        <w:jc w:val="both"/>
      </w:pPr>
      <w:r>
        <w:rPr>
          <w:rFonts w:ascii="Times New Roman" w:hAnsi="Times New Roman" w:cs="Times New Roman" w:eastAsia="仿宋"/>
          <w:b w:val="0"/>
          <w:sz w:val="28"/>
        </w:rPr>
        <w:t>截至周二，整个流程尚需多个步骤：用户首先通过Flare的FAssets系统铸造FXRP，然后通过Stargate将FXRP桥接至以太坊，随后存入市场，最后按自己选择的贷款价值比借款。Flare表示正在构建Smart Accounts路径，让持有者可以直接从XRP Ledger（XRPL）钱包授权整个借款流程，同时也在开发直接铸造FXRP到以太坊的功能。</w:t>
      </w:r>
    </w:p>
    <w:p>
      <w:pPr>
        <w:pStyle w:val="正文内容"/>
        <w:spacing w:before="0" w:after="0" w:line="240" w:lineRule="auto"/>
        <w:ind w:left="0" w:right="0" w:firstLine="560"/>
        <w:jc w:val="both"/>
      </w:pPr>
      <w:r>
        <w:rPr>
          <w:rFonts w:ascii="Times New Roman" w:hAnsi="Times New Roman" w:cs="Times New Roman" w:eastAsia="仿宋"/>
          <w:b w:val="0"/>
          <w:sz w:val="28"/>
        </w:rPr>
        <w:t>Flare联合创始人兼CEO Hugo Philion表示，XRP是加密资产中规模最大的资产之一，也是DeFi中使用最少的资产之一。他进一步指出，由机构风险团队在以太坊主网对其进行承保，其意义比又一个桥接上市更大。正是这种隔离结构使得批准成为可能，每个Morpho Blue市场都拥有独立的抵押资产、债务资产、预言机和清算阈值，因此FXRP市场内的故障不会波及其他部分。</w:t>
      </w:r>
    </w:p>
    <w:p>
      <w:pPr>
        <w:pStyle w:val="正文内容"/>
        <w:spacing w:before="0" w:after="0" w:line="240" w:lineRule="auto"/>
        <w:ind w:left="0" w:right="0" w:firstLine="560"/>
        <w:jc w:val="both"/>
      </w:pPr>
      <w:r>
        <w:rPr>
          <w:rFonts w:ascii="Times New Roman" w:hAnsi="Times New Roman" w:cs="Times New Roman" w:eastAsia="仿宋"/>
          <w:b w:val="0"/>
          <w:sz w:val="28"/>
        </w:rPr>
        <w:t>然而，规模仍是公开问题。自从启动以来，已有约1.55亿FXRP被铸造，而Philion曾表示目标是在六个月内将50亿XRP引入Flare生态系统。新市场以Flare所称的“保守供应上限”启动，并可能随着使用量的增加而提高。</w:t>
      </w:r>
    </w:p>
    <w:p>
      <w:pPr>
        <w:pStyle w:val="正文内容"/>
        <w:spacing w:before="0" w:after="0" w:line="240" w:lineRule="auto"/>
        <w:ind w:left="0" w:right="0" w:firstLine="560"/>
        <w:jc w:val="both"/>
      </w:pPr>
      <w:r>
        <w:rPr>
          <w:rFonts w:ascii="Times New Roman" w:hAnsi="Times New Roman" w:cs="Times New Roman" w:eastAsia="仿宋"/>
          <w:b w:val="0"/>
          <w:sz w:val="28"/>
        </w:rPr>
        <w:t>CoinDesk已联系Flare和Sentora，以获取供应上限、贷款价值比、清算阈值和预言机来源的信息，并将在得到任何回复后更新报道。</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原文标题：XRP holders can now borrow RLUSD on Ethereum through $280 million lending pool</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原文链接：https://www.coindesk.com/markets/2026/08/04/flare-s-wrapped-xrp-wins-approval-in-a-usd280-million-rlusd-lending-vault</w:t>
      </w:r>
    </w:p>
    <w:p/>
    <w:p>
      <w:pPr>
        <w:pStyle w:val="文章一级标题"/>
        <w:spacing w:before="0" w:after="0" w:line="240" w:lineRule="auto"/>
        <w:ind w:left="0" w:right="0" w:firstLine="0"/>
        <w:jc w:val="center"/>
      </w:pPr>
      <w:r>
        <w:rPr>
          <w:rFonts w:ascii="Times New Roman" w:hAnsi="Times New Roman" w:cs="Times New Roman" w:eastAsia="黑体"/>
          <w:b w:val="0"/>
          <w:sz w:val="30"/>
        </w:rPr>
        <w:t>富国银行拟向企业客户推出代币化存款</w:t>
      </w:r>
    </w:p>
    <w:p>
      <w:pPr>
        <w:spacing w:before="0" w:after="0" w:line="240" w:lineRule="auto"/>
        <w:ind w:left="0" w:right="0" w:firstLine="0"/>
        <w:jc w:val="both"/>
      </w:pPr>
      <w:r>
        <w:rPr>
          <w:rFonts w:ascii="Times New Roman" w:hAnsi="Times New Roman" w:cs="Times New Roman" w:eastAsia="仿宋"/>
          <w:b w:val="0"/>
          <w:sz w:val="28"/>
        </w:rPr>
        <w:t>· 富国银行计划于今年晚些时候向部分企业客户推出代币化存款，初始阶段在其专有区块链上提供美元与英镑的全天候结算。</w:t>
      </w:r>
    </w:p>
    <w:p>
      <w:pPr>
        <w:spacing w:before="0" w:after="0" w:line="240" w:lineRule="auto"/>
        <w:ind w:left="0" w:right="0" w:firstLine="0"/>
        <w:jc w:val="both"/>
      </w:pPr>
      <w:r>
        <w:rPr>
          <w:rFonts w:ascii="Times New Roman" w:hAnsi="Times New Roman" w:cs="Times New Roman" w:eastAsia="仿宋"/>
          <w:b w:val="0"/>
          <w:sz w:val="28"/>
        </w:rPr>
        <w:t>· 代币化存款仍为发行银行的负债，享有与传统存款相同的监管保护，与依赖外部储备的稳定币不同。</w:t>
      </w:r>
    </w:p>
    <w:p>
      <w:pPr>
        <w:spacing w:before="0" w:after="0" w:line="240" w:lineRule="auto"/>
        <w:ind w:left="0" w:right="0" w:firstLine="0"/>
        <w:jc w:val="both"/>
      </w:pPr>
      <w:r>
        <w:rPr>
          <w:rFonts w:ascii="Times New Roman" w:hAnsi="Times New Roman" w:cs="Times New Roman" w:eastAsia="仿宋"/>
          <w:b w:val="0"/>
          <w:sz w:val="28"/>
        </w:rPr>
        <w:t>· 富国银行加入摩根大通和花旗的行列，提供基于代币化存款的机构服务，并正考虑连接共享网络。</w:t>
      </w:r>
    </w:p>
    <w:p>
      <w:pPr>
        <w:pStyle w:val="正文内容"/>
        <w:spacing w:before="0" w:after="0" w:line="240" w:lineRule="auto"/>
        <w:ind w:left="0" w:right="0" w:firstLine="560"/>
        <w:jc w:val="both"/>
      </w:pPr>
      <w:r>
        <w:rPr>
          <w:rFonts w:ascii="Times New Roman" w:hAnsi="Times New Roman" w:cs="Times New Roman" w:eastAsia="仿宋"/>
          <w:b w:val="0"/>
          <w:sz w:val="28"/>
        </w:rPr>
        <w:t>富国银行（Wells Fargo）计划于今年晚些时候向部分企业与商业客户推出代币化存款（Tokenized Deposits），初始阶段将在其专有区块链上实现美元与英镑之间的全天候结算。该服务最初可用范围有限，随后在2027年扩展至更多客户、国家和货币。富国银行表示，系统最终将允许合格客户在一周7天、每天24小时（包括周末和公共假日）内移动、编程和结算资金。美元兑英镑通道的开启，也为该行提供了受控环境，以便在增加更复杂市场之前测试外汇结算、流动性管理和支付处理。</w:t>
      </w:r>
    </w:p>
    <w:p>
      <w:pPr>
        <w:pStyle w:val="正文内容"/>
        <w:spacing w:before="0" w:after="0" w:line="240" w:lineRule="auto"/>
        <w:ind w:left="0" w:right="0" w:firstLine="560"/>
        <w:jc w:val="both"/>
      </w:pPr>
      <w:r>
        <w:rPr>
          <w:rFonts w:ascii="Times New Roman" w:hAnsi="Times New Roman" w:cs="Times New Roman" w:eastAsia="仿宋"/>
          <w:b w:val="0"/>
          <w:sz w:val="28"/>
        </w:rPr>
        <w:t>该银行打算将代币化存款整合到现有支付服务中，而不是要求客户采用独立流程。系统将根据速度或灵活性自动判断符合条件的支付应使用传统银行轨道还是代币化存款。客户继续通过常规银行渠道与富国银行互动，区块链基础设施在后台运行。这种设计使企业财务团队无需管理加密货币钱包或直接与区块链网络交互，即可使用相关功能。</w:t>
      </w:r>
    </w:p>
    <w:p>
      <w:pPr>
        <w:pStyle w:val="正文内容"/>
        <w:spacing w:before="0" w:after="0" w:line="240" w:lineRule="auto"/>
        <w:ind w:left="0" w:right="0" w:firstLine="560"/>
        <w:jc w:val="both"/>
      </w:pPr>
      <w:r>
        <w:rPr>
          <w:rFonts w:ascii="Times New Roman" w:hAnsi="Times New Roman" w:cs="Times New Roman" w:eastAsia="仿宋"/>
          <w:b w:val="0"/>
          <w:sz w:val="28"/>
        </w:rPr>
        <w:t>代币化存款是记录在区块链上的传统商业银行存款的数字表示，仍是发行银行的负债，而非由其他地方持有的储备支持的私人发行数字资产。富国银行表示，其代币化余额将享有与其现有存款产品相同的监管保护和存款保险资格。相比之下，稳定币（Stablecoin）通常由非银行公司或专门实体发行，并依赖发行方的储备结构、赎回流程和监管状态。</w:t>
      </w:r>
    </w:p>
    <w:p>
      <w:pPr>
        <w:pStyle w:val="正文内容"/>
        <w:spacing w:before="0" w:after="0" w:line="240" w:lineRule="auto"/>
        <w:ind w:left="0" w:right="0" w:firstLine="560"/>
        <w:jc w:val="both"/>
      </w:pPr>
      <w:r>
        <w:rPr>
          <w:rFonts w:ascii="Times New Roman" w:hAnsi="Times New Roman" w:cs="Times New Roman" w:eastAsia="仿宋"/>
          <w:b w:val="0"/>
          <w:sz w:val="28"/>
        </w:rPr>
        <w:t>这一区别对于要求资金留在受监管银行体系内的企业客户至关重要。代币化存款能够提供基于区块链的结算，而无需公司将银行余额兑换为外部稳定币，也不必承担独立发行方的风险。对富国银行而言，该产品还有助于留住可能因需要更快结算或可编程支付功能而转向稳定币的存款。银行从客户存款中赚取收入，并将其作为重要资金来源，因此有经济动力在传统账户中提供类似的数字能力。</w:t>
      </w:r>
    </w:p>
    <w:p>
      <w:pPr>
        <w:pStyle w:val="正文内容"/>
        <w:spacing w:before="0" w:after="0" w:line="240" w:lineRule="auto"/>
        <w:ind w:left="0" w:right="0" w:firstLine="560"/>
        <w:jc w:val="both"/>
      </w:pPr>
      <w:r>
        <w:rPr>
          <w:rFonts w:ascii="Times New Roman" w:hAnsi="Times New Roman" w:cs="Times New Roman" w:eastAsia="仿宋"/>
          <w:b w:val="0"/>
          <w:sz w:val="28"/>
        </w:rPr>
        <w:t>未来版本可能通过智能合约（Smart Contract）支持条件支付，即当约定条件满足时自动执行付款，从而减少企业之间的人工审批、对账或确认。例如，一家企业可以安排在交付记录经核实或合同要求完成后释放付款。此类功能有望降低贸易融资、供应商付款及其他涉及多方的企业交易中的结算延迟。</w:t>
      </w:r>
    </w:p>
    <w:p>
      <w:pPr>
        <w:pStyle w:val="正文内容"/>
        <w:spacing w:before="0" w:after="0" w:line="240" w:lineRule="auto"/>
        <w:ind w:left="0" w:right="0" w:firstLine="560"/>
        <w:jc w:val="both"/>
      </w:pPr>
      <w:r>
        <w:rPr>
          <w:rFonts w:ascii="Times New Roman" w:hAnsi="Times New Roman" w:cs="Times New Roman" w:eastAsia="仿宋"/>
          <w:b w:val="0"/>
          <w:sz w:val="28"/>
        </w:rPr>
        <w:t>富国银行也在考虑内部托管钱包及连接外部区块链网络。随着银行、支付公司和稳定币发行方构建各自独立的系统，企业客户最终可能需要结合使用，互操作性将日益重要。该银行表示，其平台可连接The Clearing House正在开发的共享代币化存款网络。一个共享网络能让多家银行在其客户之间转移代币化商业货币，而不是将活动局限于孤立专有系统。</w:t>
      </w:r>
    </w:p>
    <w:p>
      <w:pPr>
        <w:pStyle w:val="正文内容"/>
        <w:spacing w:before="0" w:after="0" w:line="240" w:lineRule="auto"/>
        <w:ind w:left="0" w:right="0" w:firstLine="560"/>
        <w:jc w:val="both"/>
      </w:pPr>
      <w:r>
        <w:rPr>
          <w:rFonts w:ascii="Times New Roman" w:hAnsi="Times New Roman" w:cs="Times New Roman" w:eastAsia="仿宋"/>
          <w:b w:val="0"/>
          <w:sz w:val="28"/>
        </w:rPr>
        <w:t>不过，连接各银行的区块链需要共同的技术标准、合规控制和结算规则。如果每家银行的产品只能在自己的网络内流通，代币化存款的价值可能依然有限。富国银行加入摩根大通（JPMorgan）和花旗（Citi），成为提供基于代币化存款的机构服务的银行。随着稳定币在跨境支付、交易结算和企业资金转移中得到更广泛使用，大型银行正对此类产品进行投资。</w:t>
      </w:r>
    </w:p>
    <w:p>
      <w:pPr>
        <w:pStyle w:val="正文内容"/>
        <w:spacing w:before="0" w:after="0" w:line="240" w:lineRule="auto"/>
        <w:ind w:left="0" w:right="0" w:firstLine="560"/>
        <w:jc w:val="both"/>
      </w:pPr>
      <w:r>
        <w:rPr>
          <w:rFonts w:ascii="Times New Roman" w:hAnsi="Times New Roman" w:cs="Times New Roman" w:eastAsia="仿宋"/>
          <w:b w:val="0"/>
          <w:sz w:val="28"/>
        </w:rPr>
        <w:t>富国银行自2019年起便开始研究区块链支付系统，当时公布了用于内部跨境转账的Wells Fargo Digital Cash。此后，该行通过与汇丰银行（HSBC）在共享区块链上结算外汇交易，积累了经验。今年3月，富国银行还提交了“WFUSD”商标申请，可能涉及代币化存款、稳定币或其他数字支付产品，但该行尚未公开确认该名称的具体用途。此次上线初期规模较小，不足以实质性改变富国银行的存款基础或支付收入，其意义在于能否跨货币和司法管辖区扩展服务；若系统超越内部或有限双边转账，代币化存款可能成为大型企业替代稳定币的直接银行选择。下一步将取决于客户采用、监管处理以及各银行能否让各自的区块链系统高效通信。</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原文标题：Wells Fargo to Launch Tokenized Deposits for Corporate Clients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原文链接：https://financefeeds.com/wells-fargo-to-launch-tokenized-deposits-for-corporate-clients/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资产难有起色Hashdex将关闭比特币ETF</w:t>
      </w:r>
    </w:p>
    <w:p>
      <w:pPr>
        <w:spacing w:before="0" w:after="0" w:line="240" w:lineRule="auto"/>
        <w:ind w:left="0" w:right="0" w:firstLine="0"/>
        <w:jc w:val="both"/>
      </w:pPr>
      <w:r>
        <w:rPr>
          <w:rFonts w:ascii="Times New Roman" w:hAnsi="Times New Roman" w:cs="Times New Roman" w:eastAsia="仿宋"/>
          <w:b w:val="0"/>
          <w:sz w:val="28"/>
        </w:rPr>
        <w:t>· 巴西加密资产管理公司Hashdex将关闭并清算其美国现货比特币ETF，该基金管理资产仅约1470万美元。</w:t>
      </w:r>
    </w:p>
    <w:p>
      <w:pPr>
        <w:spacing w:before="0" w:after="0" w:line="240" w:lineRule="auto"/>
        <w:ind w:left="0" w:right="0" w:firstLine="0"/>
        <w:jc w:val="both"/>
      </w:pPr>
      <w:r>
        <w:rPr>
          <w:rFonts w:ascii="Times New Roman" w:hAnsi="Times New Roman" w:cs="Times New Roman" w:eastAsia="仿宋"/>
          <w:b w:val="0"/>
          <w:sz w:val="28"/>
        </w:rPr>
        <w:t>· 该ETF将于8月17日收盘后停止交易并退市，股东预计在8月28日前后获得现金分配。</w:t>
      </w:r>
    </w:p>
    <w:p>
      <w:pPr>
        <w:spacing w:before="0" w:after="0" w:line="240" w:lineRule="auto"/>
        <w:ind w:left="0" w:right="0" w:firstLine="0"/>
        <w:jc w:val="both"/>
      </w:pPr>
      <w:r>
        <w:rPr>
          <w:rFonts w:ascii="Times New Roman" w:hAnsi="Times New Roman" w:cs="Times New Roman" w:eastAsia="仿宋"/>
          <w:b w:val="0"/>
          <w:sz w:val="28"/>
        </w:rPr>
        <w:t>· 此次关闭发生在美国现货比特币ETF市场激烈竞争两年多之后。</w:t>
      </w:r>
    </w:p>
    <w:p>
      <w:pPr>
        <w:pStyle w:val="正文内容"/>
        <w:spacing w:before="0" w:after="0" w:line="240" w:lineRule="auto"/>
        <w:ind w:left="0" w:right="0" w:firstLine="560"/>
        <w:jc w:val="both"/>
      </w:pPr>
      <w:r>
        <w:rPr>
          <w:rFonts w:ascii="Times New Roman" w:hAnsi="Times New Roman" w:cs="Times New Roman" w:eastAsia="仿宋"/>
          <w:b w:val="0"/>
          <w:sz w:val="28"/>
        </w:rPr>
        <w:t>巴西加密资产管理公司Hashdex将关闭并清算其在美国上市的现货比特币交易所交易基金（Bitcoin ETF）。根据周一提交给美国证券交易委员会（U.S. Securities and Exchange Commission，SEC）的文件，Hashdex比特币ETF（NYSE Arca： DEFI）将在8月17日收盘后停止交易，随后被摘牌。该基金管理资产仅约1470万美元。</w:t>
      </w:r>
    </w:p>
    <w:p>
      <w:pPr>
        <w:pStyle w:val="正文内容"/>
        <w:spacing w:before="0" w:after="0" w:line="240" w:lineRule="auto"/>
        <w:ind w:left="0" w:right="0" w:firstLine="560"/>
        <w:jc w:val="both"/>
      </w:pPr>
      <w:r>
        <w:rPr>
          <w:rFonts w:ascii="Times New Roman" w:hAnsi="Times New Roman" w:cs="Times New Roman" w:eastAsia="仿宋"/>
          <w:b w:val="0"/>
          <w:sz w:val="28"/>
        </w:rPr>
        <w:t>截至最后交易日仍持有该基金的股东，预计将在基金出售剩余比特币持仓后，于8月28日前后获得现金分配。文件中写道：“在最后交易日之后，基金将清算其剩余的比特币持仓。”该基金将不再追求其既定投资目标，除清盘、保全资产价值、支付负债并向股东分配剩余资产外，不会从事任何业务活动。Hashdex表示，在决定清算前，评估了资产管理规模、交易流动性、运营成本、投资者兴趣以及该基金在其更广泛产品线中的定位等因素。</w:t>
      </w:r>
    </w:p>
    <w:p>
      <w:pPr>
        <w:pStyle w:val="正文内容"/>
        <w:spacing w:before="0" w:after="0" w:line="240" w:lineRule="auto"/>
        <w:ind w:left="0" w:right="0" w:firstLine="560"/>
        <w:jc w:val="both"/>
      </w:pPr>
      <w:r>
        <w:rPr>
          <w:rFonts w:ascii="Times New Roman" w:hAnsi="Times New Roman" w:cs="Times New Roman" w:eastAsia="仿宋"/>
          <w:b w:val="0"/>
          <w:sz w:val="28"/>
        </w:rPr>
        <w:t>该公司表示，其继续管理着面向美国投资者的投资产品，规模超过2亿美元。交易所交易基金（Exchange-Traded Fund，ETF）允许投资者通过购买在证券交易所交易的股票来获得对特定资产（此处为比特币）的敞口。由于ETF价格与比特币价格相关，最终支付金额可能不同于基金当前价值，因为资产出售期间价格可能发生变化。</w:t>
      </w:r>
    </w:p>
    <w:p>
      <w:pPr>
        <w:pStyle w:val="正文内容"/>
        <w:spacing w:before="0" w:after="0" w:line="240" w:lineRule="auto"/>
        <w:ind w:left="0" w:right="0" w:firstLine="560"/>
        <w:jc w:val="both"/>
      </w:pPr>
      <w:r>
        <w:rPr>
          <w:rFonts w:ascii="Times New Roman" w:hAnsi="Times New Roman" w:cs="Times New Roman" w:eastAsia="仿宋"/>
          <w:b w:val="0"/>
          <w:sz w:val="28"/>
        </w:rPr>
        <w:t>此次关闭发生在美国现货比特币ETF市场激烈竞争两年多之后。此前，美国证券交易委员会于2024年1月里程碑式地批准了首批现货比特币ETF，Hashdex随后进入该市场。</w:t>
      </w:r>
    </w:p>
    <w:p>
      <w:pPr>
        <w:pStyle w:val="正文内容"/>
        <w:spacing w:before="0" w:after="0" w:line="240" w:lineRule="auto"/>
        <w:ind w:left="0" w:right="0" w:firstLine="560"/>
        <w:jc w:val="both"/>
      </w:pPr>
      <w:r>
        <w:rPr>
          <w:rFonts w:ascii="Times New Roman" w:hAnsi="Times New Roman" w:cs="Times New Roman" w:eastAsia="仿宋"/>
          <w:b w:val="0"/>
          <w:sz w:val="28"/>
        </w:rPr>
        <w:t>2024年3月，该公司将其自2022年9月起以DEFI代码交易的比特币期货ETF转换为现货比特币ETF，该现货ETF持有约5500枚比特币。此后，该公司寻求扩大美国产品线，推出比特币与以太坊组合ETF，但美国证券交易委员会在2024年8月推迟了对该提案的决定。</w:t>
      </w:r>
    </w:p>
    <w:p>
      <w:pPr>
        <w:pStyle w:val="正文内容"/>
        <w:spacing w:before="0" w:after="0" w:line="240" w:lineRule="auto"/>
        <w:ind w:left="0" w:right="0" w:firstLine="560"/>
        <w:jc w:val="both"/>
      </w:pPr>
      <w:r>
        <w:rPr>
          <w:rFonts w:ascii="Times New Roman" w:hAnsi="Times New Roman" w:cs="Times New Roman" w:eastAsia="仿宋"/>
          <w:b w:val="0"/>
          <w:sz w:val="28"/>
        </w:rPr>
        <w:t>此次关闭将结束这款最早一批比特币ETF之一的运营。该基金仅积累了约1470万美元的资产管理规模。</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原文标题：Hashdex to Shut Down Bitcoin ETF After Struggling to Gain Assets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原文链接：https://decrypt.co/374903/hashdex-shut-down-bitcoin-etf</w:t>
      </w:r>
    </w:p>
    <w:p/>
    <w:p>
      <w:pPr>
        <w:pStyle w:val="文章一级标题"/>
        <w:spacing w:before="0" w:after="0" w:line="240" w:lineRule="auto"/>
        <w:ind w:left="0" w:right="0" w:firstLine="0"/>
        <w:jc w:val="center"/>
      </w:pPr>
      <w:r>
        <w:rPr>
          <w:rFonts w:ascii="Times New Roman" w:hAnsi="Times New Roman" w:cs="Times New Roman" w:eastAsia="黑体"/>
          <w:b w:val="0"/>
          <w:sz w:val="30"/>
        </w:rPr>
        <w:t>ArkInvest在Coinbase大跌逾14%后买入800万美元同时增持Circle、减持Solmate</w:t>
      </w:r>
    </w:p>
    <w:p>
      <w:pPr>
        <w:spacing w:before="0" w:after="0" w:line="240" w:lineRule="auto"/>
        <w:ind w:left="0" w:right="0" w:firstLine="0"/>
        <w:jc w:val="both"/>
      </w:pPr>
      <w:r>
        <w:rPr>
          <w:rFonts w:ascii="Times New Roman" w:hAnsi="Times New Roman" w:cs="Times New Roman" w:eastAsia="仿宋"/>
          <w:b w:val="0"/>
          <w:sz w:val="28"/>
        </w:rPr>
        <w:t>· Ark Invest在8月4日买入54，776股Coinbase股票，价值约800万美元，此前Coinbase财报后股价下跌超过14%。</w:t>
      </w:r>
    </w:p>
    <w:p>
      <w:pPr>
        <w:spacing w:before="0" w:after="0" w:line="240" w:lineRule="auto"/>
        <w:ind w:left="0" w:right="0" w:firstLine="0"/>
        <w:jc w:val="both"/>
      </w:pPr>
      <w:r>
        <w:rPr>
          <w:rFonts w:ascii="Times New Roman" w:hAnsi="Times New Roman" w:cs="Times New Roman" w:eastAsia="仿宋"/>
          <w:b w:val="0"/>
          <w:sz w:val="28"/>
        </w:rPr>
        <w:t>· Ark同时买入23，070股Circle股票，价值约140万美元，并卖出5，700股Solmate Infrastructure股票。</w:t>
      </w:r>
    </w:p>
    <w:p>
      <w:pPr>
        <w:spacing w:before="0" w:after="0" w:line="240" w:lineRule="auto"/>
        <w:ind w:left="0" w:right="0" w:firstLine="0"/>
        <w:jc w:val="both"/>
      </w:pPr>
      <w:r>
        <w:rPr>
          <w:rFonts w:ascii="Times New Roman" w:hAnsi="Times New Roman" w:cs="Times New Roman" w:eastAsia="仿宋"/>
          <w:b w:val="0"/>
          <w:sz w:val="28"/>
        </w:rPr>
        <w:t>· JPMorgan称Coinbase季度反映艰难交易环境，Bernstein下调Circle目标价但维持跑赢大盘评级。</w:t>
      </w:r>
    </w:p>
    <w:p>
      <w:pPr>
        <w:pStyle w:val="正文内容"/>
        <w:spacing w:before="0" w:after="0" w:line="240" w:lineRule="auto"/>
        <w:ind w:left="0" w:right="0" w:firstLine="560"/>
        <w:jc w:val="both"/>
      </w:pPr>
      <w:r>
        <w:rPr>
          <w:rFonts w:ascii="Times New Roman" w:hAnsi="Times New Roman" w:cs="Times New Roman" w:eastAsia="仿宋"/>
          <w:b w:val="0"/>
          <w:sz w:val="28"/>
        </w:rPr>
        <w:t>Ark Invest在8月4日买入了54，776股Coinbase股票，价值约800万美元，此前Coinbase公布第二季度业绩后股价大跌。这家由Cathie Wood领导的公司同时买入了Circle股票，并继续减持Solmate Infrastructure持仓。</w:t>
      </w:r>
    </w:p>
    <w:p>
      <w:pPr>
        <w:pStyle w:val="正文内容"/>
        <w:spacing w:before="0" w:after="0" w:line="240" w:lineRule="auto"/>
        <w:ind w:left="0" w:right="0" w:firstLine="560"/>
        <w:jc w:val="both"/>
      </w:pPr>
      <w:r>
        <w:rPr>
          <w:rFonts w:ascii="Times New Roman" w:hAnsi="Times New Roman" w:cs="Times New Roman" w:eastAsia="仿宋"/>
          <w:b w:val="0"/>
          <w:sz w:val="28"/>
        </w:rPr>
        <w:t>Coinbase买入的具体分布为：Ark Innovation ETF买入38，761股，价值约570万美元；Ark Next Generation Internet ETF买入11，133股，价值160万美元；Ark Fintech Innovation ETF买入4，882股，价值约71.5万美元。周一Coinbase反弹0.2%，收于146.50美元，市值约272亿美元。</w:t>
      </w:r>
    </w:p>
    <w:p>
      <w:pPr>
        <w:pStyle w:val="正文内容"/>
        <w:spacing w:before="0" w:after="0" w:line="240" w:lineRule="auto"/>
        <w:ind w:left="0" w:right="0" w:firstLine="560"/>
        <w:jc w:val="both"/>
      </w:pPr>
      <w:r>
        <w:rPr>
          <w:rFonts w:ascii="Times New Roman" w:hAnsi="Times New Roman" w:cs="Times New Roman" w:eastAsia="仿宋"/>
          <w:b w:val="0"/>
          <w:sz w:val="28"/>
        </w:rPr>
        <w:t>Ark常在股价下跌后加仓、上涨后减仓。其策略通常防止单一公司占基金比重超过10%，因此可能继续调整Coinbase持仓。截至8月4日，Coinbase是Ark Innovation ETF第六大持仓，占4.2%，价值约2.38亿美元，位列特斯拉、SpaceX、Tempus AI、CRISPR Therapeutics和Shopify之后。</w:t>
      </w:r>
    </w:p>
    <w:p>
      <w:pPr>
        <w:pStyle w:val="正文内容"/>
        <w:spacing w:before="0" w:after="0" w:line="240" w:lineRule="auto"/>
        <w:ind w:left="0" w:right="0" w:firstLine="560"/>
        <w:jc w:val="both"/>
      </w:pPr>
      <w:r>
        <w:rPr>
          <w:rFonts w:ascii="Times New Roman" w:hAnsi="Times New Roman" w:cs="Times New Roman" w:eastAsia="仿宋"/>
          <w:b w:val="0"/>
          <w:sz w:val="28"/>
        </w:rPr>
        <w:t>Coinbase也是Ark Next Generation Internet ETF第11大持仓，以及Ark Fintech Innovation ETF第五大持仓，价值分别约5680万和3850万美元。Coinbase第二季度预测市场业务增长，交易市场份额创纪录，但这些表现未能阻止投资者抛售。</w:t>
      </w:r>
    </w:p>
    <w:p>
      <w:pPr>
        <w:pStyle w:val="正文内容"/>
        <w:spacing w:before="0" w:after="0" w:line="240" w:lineRule="auto"/>
        <w:ind w:left="0" w:right="0" w:firstLine="560"/>
        <w:jc w:val="both"/>
      </w:pPr>
      <w:r>
        <w:rPr>
          <w:rFonts w:ascii="Times New Roman" w:hAnsi="Times New Roman" w:cs="Times New Roman" w:eastAsia="仿宋"/>
          <w:b w:val="0"/>
          <w:sz w:val="28"/>
        </w:rPr>
        <w:t>JPMorgan称该季度反映加密货币交易环境困难，新产品提供的近期盈利支持有限。Bernstein表示，Coinbase长期战略仍具吸引力，但投资者希望看到更强劲的执行力。市场反应表明，在交易环境疲软时，仅靠市场份额增长可能无法让股东满意。</w:t>
      </w:r>
    </w:p>
    <w:p>
      <w:pPr>
        <w:pStyle w:val="正文内容"/>
        <w:spacing w:before="0" w:after="0" w:line="240" w:lineRule="auto"/>
        <w:ind w:left="0" w:right="0" w:firstLine="560"/>
        <w:jc w:val="both"/>
      </w:pPr>
      <w:r>
        <w:rPr>
          <w:rFonts w:ascii="Times New Roman" w:hAnsi="Times New Roman" w:cs="Times New Roman" w:eastAsia="仿宋"/>
          <w:b w:val="0"/>
          <w:sz w:val="28"/>
        </w:rPr>
        <w:t>Coinbase已扩展至衍生品、稳定币、机构服务和预测市场，但投资者仍在评估这些业务能多快贡献收入和利润。Ark的买入表明，该投资公司将财报后的下跌视为机会，而非长期前景改变的证据。目前持仓远低于10%上限，为未来加仓留下空间。</w:t>
      </w:r>
    </w:p>
    <w:p>
      <w:pPr>
        <w:pStyle w:val="正文内容"/>
        <w:spacing w:before="0" w:after="0" w:line="240" w:lineRule="auto"/>
        <w:ind w:left="0" w:right="0" w:firstLine="560"/>
        <w:jc w:val="both"/>
      </w:pPr>
      <w:r>
        <w:rPr>
          <w:rFonts w:ascii="Times New Roman" w:hAnsi="Times New Roman" w:cs="Times New Roman" w:eastAsia="仿宋"/>
          <w:b w:val="0"/>
          <w:sz w:val="28"/>
        </w:rPr>
        <w:t>Ark还通过Ark Innovation和Ark Next Generation Internet ETF买入23，070股Circle股票，价值约140万美元。当日Circle下跌3.6%，收于60.35美元，年初至今跌幅达25%。Circle是Ark Innovation ETF第九大持仓，价值约2.105亿美元，同时在Ark Next Generation Internet ETF中排第十二，价值约5610万美元。</w:t>
      </w:r>
    </w:p>
    <w:p>
      <w:pPr>
        <w:pStyle w:val="正文内容"/>
        <w:spacing w:before="0" w:after="0" w:line="240" w:lineRule="auto"/>
        <w:ind w:left="0" w:right="0" w:firstLine="560"/>
        <w:jc w:val="both"/>
      </w:pPr>
      <w:r>
        <w:rPr>
          <w:rFonts w:ascii="Times New Roman" w:hAnsi="Times New Roman" w:cs="Times New Roman" w:eastAsia="仿宋"/>
          <w:b w:val="0"/>
          <w:sz w:val="28"/>
        </w:rPr>
        <w:t>Circle近期获得纽约金融服务部颁发的有限用途信托章程，用于Circle Internet Trust Company，扩展了对其稳定币业务的监管框架。Bernstein将Circle目标价从190美元下调至140美元，维持跑赢大盘评级，认为投资者对Open USD联盟竞争的担忧终将缓解。</w:t>
      </w:r>
    </w:p>
    <w:p>
      <w:pPr>
        <w:pStyle w:val="正文内容"/>
        <w:spacing w:before="0" w:after="0" w:line="240" w:lineRule="auto"/>
        <w:ind w:left="0" w:right="0" w:firstLine="560"/>
        <w:jc w:val="both"/>
      </w:pPr>
      <w:r>
        <w:rPr>
          <w:rFonts w:ascii="Times New Roman" w:hAnsi="Times New Roman" w:cs="Times New Roman" w:eastAsia="仿宋"/>
          <w:b w:val="0"/>
          <w:sz w:val="28"/>
        </w:rPr>
        <w:t>Ark增持Coinbase和Circle，增加了对受监管加密基础设施公司的敞口，而非直接持有代币。Coinbase提供交易、托管和机构服务，Circle从储备资产支持USDC稳定币中赚取收入。与此同时，Ark卖出5，700股Solmate Infrastructure股票，价值近25，000美元。</w:t>
      </w:r>
    </w:p>
    <w:p>
      <w:pPr>
        <w:pStyle w:val="正文内容"/>
        <w:spacing w:before="0" w:after="0" w:line="240" w:lineRule="auto"/>
        <w:ind w:left="0" w:right="0" w:firstLine="560"/>
        <w:jc w:val="both"/>
      </w:pPr>
      <w:r>
        <w:rPr>
          <w:rFonts w:ascii="Times New Roman" w:hAnsi="Times New Roman" w:cs="Times New Roman" w:eastAsia="仿宋"/>
          <w:b w:val="0"/>
          <w:sz w:val="28"/>
        </w:rPr>
        <w:t>Solmate周一上涨10%，收于4.31美元，但较9月峰值仍下跌约99%。这家专注Solana的数字资产国库公司去年通过私募融资3亿美元，获Ark Invest和Solana Foundation支持。数字资产国库公司曾因筹资购买加密货币受到关注，但许多公司因股价下跌而难以按有利条件发行股票，投资者愿意支付的溢价也随之下降。Ark的对比交易表明，其偏好买入成熟的加密业务，同时继续减持股价近乎崩盘的小型数字资产国库公司。</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原文标题：Ark Invest Expands Coinbase Holdings After Stock Slides More Than 14%</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原文链接：https://financefeeds.com/ark-invest-expands-coinbase-holdings-after-stock-slides-more-than-14/</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Ledger称Coldcard漏洞显示比特币钱包安全必须适应人工智能（AI）</w:t>
      </w:r>
    </w:p>
    <w:p>
      <w:pPr>
        <w:spacing w:before="0" w:after="0" w:line="240" w:lineRule="auto"/>
        <w:ind w:left="0" w:right="0" w:firstLine="0"/>
        <w:jc w:val="both"/>
      </w:pPr>
      <w:r>
        <w:rPr>
          <w:rFonts w:ascii="Times New Roman" w:hAnsi="Times New Roman" w:cs="Times New Roman" w:eastAsia="仿宋"/>
          <w:b w:val="0"/>
          <w:sz w:val="28"/>
        </w:rPr>
        <w:t>· Ledger首席技术官Charles Guillemet表示，Coldcard漏洞提醒硬件钱包行业，其安全模式生死攸关于随机数生成，密码学实现安全更难。</w:t>
      </w:r>
    </w:p>
    <w:p>
      <w:pPr>
        <w:spacing w:before="0" w:after="0" w:line="240" w:lineRule="auto"/>
        <w:ind w:left="0" w:right="0" w:firstLine="0"/>
        <w:jc w:val="both"/>
      </w:pPr>
      <w:r>
        <w:rPr>
          <w:rFonts w:ascii="Times New Roman" w:hAnsi="Times New Roman" w:cs="Times New Roman" w:eastAsia="仿宋"/>
          <w:b w:val="0"/>
          <w:sz w:val="28"/>
        </w:rPr>
        <w:t>· Coldcard漏洞因使用软件回退而非硬件随机数生成器创建恢复种子，已导致约1.3亿美元损失，Coinkite已发布补丁并敦促用户转移资金。</w:t>
      </w:r>
    </w:p>
    <w:p>
      <w:pPr>
        <w:spacing w:before="0" w:after="0" w:line="240" w:lineRule="auto"/>
        <w:ind w:left="0" w:right="0" w:firstLine="0"/>
        <w:jc w:val="both"/>
      </w:pPr>
      <w:r>
        <w:rPr>
          <w:rFonts w:ascii="Times New Roman" w:hAnsi="Times New Roman" w:cs="Times New Roman" w:eastAsia="仿宋"/>
          <w:b w:val="0"/>
          <w:sz w:val="28"/>
        </w:rPr>
        <w:t>· Guillemet指出，AI正允许攻击者以机器速度识别漏洞，防御必须同样快速，随机性必须来自物理并经过独立认证。</w:t>
      </w:r>
    </w:p>
    <w:p>
      <w:pPr>
        <w:pStyle w:val="正文内容"/>
        <w:spacing w:before="0" w:after="0" w:line="240" w:lineRule="auto"/>
        <w:ind w:left="0" w:right="0" w:firstLine="560"/>
        <w:jc w:val="both"/>
      </w:pPr>
      <w:r>
        <w:rPr>
          <w:rFonts w:ascii="Times New Roman" w:hAnsi="Times New Roman" w:cs="Times New Roman" w:eastAsia="仿宋"/>
          <w:b w:val="0"/>
          <w:sz w:val="28"/>
        </w:rPr>
        <w:t>硬件钱包（hardware wallet）制造商Ledger表示，近期的Coldcard漏洞应成为加密货币行业的警示。Ledger首席技术官Charles Guillemet对Decrypt表示，该事件暴露了某些设备（此处指硬件加密货币钱包）在生成加密随机性方面的弱点，同时显示了人工智能（AI）如何重塑网络攻击与数字防御。Guillemet说：“我们把这当作一个严肃的提醒，硬件钱包的整个安全模式生死攸关于随机性。密码学很难，安全实现更难。本周的Coldcard事件以最昂贵的方式让这一点变得可见。”</w:t>
      </w:r>
    </w:p>
    <w:p>
      <w:pPr>
        <w:pStyle w:val="正文内容"/>
        <w:spacing w:before="0" w:after="0" w:line="240" w:lineRule="auto"/>
        <w:ind w:left="0" w:right="0" w:firstLine="560"/>
        <w:jc w:val="both"/>
      </w:pPr>
      <w:r>
        <w:rPr>
          <w:rFonts w:ascii="Times New Roman" w:hAnsi="Times New Roman" w:cs="Times New Roman" w:eastAsia="仿宋"/>
          <w:b w:val="0"/>
          <w:sz w:val="28"/>
        </w:rPr>
        <w:t>上周，Coldcard制造商Coinkite披露了一个影响气隙隔离（air-gapped）Coldcard比特币硬件钱包的缺陷，该缺陷可追溯到2021年3月的固件构建。错误在于使用软件回退（software fallback）而非设备的硬件随机数生成器（hardware random number generator）创建钱包恢复种子，导致部分私钥可被猜测，使窃贼得以盗取用户比特币。迄今损失已约1.3亿美元，其他盗窃案仍在调查中。周日，Coinkite发布了修补固件，并敦促受影响的用户将资金转移到新生成的钱包。Coinkite未回应Decrypt的评论请求。</w:t>
      </w:r>
    </w:p>
    <w:p>
      <w:pPr>
        <w:pStyle w:val="正文内容"/>
        <w:spacing w:before="0" w:after="0" w:line="240" w:lineRule="auto"/>
        <w:ind w:left="0" w:right="0" w:firstLine="560"/>
        <w:jc w:val="both"/>
      </w:pPr>
      <w:r>
        <w:rPr>
          <w:rFonts w:ascii="Times New Roman" w:hAnsi="Times New Roman" w:cs="Times New Roman" w:eastAsia="仿宋"/>
          <w:b w:val="0"/>
          <w:sz w:val="28"/>
        </w:rPr>
        <w:t>Ledger表示，自己的硬件钱包并未受到该漏洞影响，因为它们以不同方式生成恢复短语。Guillemet说：“Ledger硬件钱包从直接内置在认证安全元件（Secure Element）中的真实硬件随机数生成器提取根秘密（root secret，即24个单词的秘密恢复短语（Secret Recovery Phrase）），没有软件回退路径。该生成器为每个种子产生完整的256位熵。”对Ledger而言，这一事件引发了关于如何评估硬件钱包安全的更广泛问题。</w:t>
      </w:r>
    </w:p>
    <w:p>
      <w:pPr>
        <w:pStyle w:val="正文内容"/>
        <w:spacing w:before="0" w:after="0" w:line="240" w:lineRule="auto"/>
        <w:ind w:left="0" w:right="0" w:firstLine="560"/>
        <w:jc w:val="both"/>
      </w:pPr>
      <w:r>
        <w:rPr>
          <w:rFonts w:ascii="Times New Roman" w:hAnsi="Times New Roman" w:cs="Times New Roman" w:eastAsia="仿宋"/>
          <w:b w:val="0"/>
          <w:sz w:val="28"/>
        </w:rPr>
        <w:t>Guillemet表示：“开源与被审查不是一回事。这个缺陷在公共代码中潜伏了五年多，直到据报道一个对手使用AI发现了它，这提醒我们，开放与被审查是两件不同的事。”他进一步指出，AI正在改变网络安全，允许攻击者以“机器速度”扫描代码、搜索配置错误并识别漏洞。“这意味着防御必须以同样的速度移动，”他说，“它需要来自安全设计、硬件和数学。”</w:t>
      </w:r>
    </w:p>
    <w:p>
      <w:pPr>
        <w:pStyle w:val="正文内容"/>
        <w:spacing w:before="0" w:after="0" w:line="240" w:lineRule="auto"/>
        <w:ind w:left="0" w:right="0" w:firstLine="560"/>
        <w:jc w:val="both"/>
      </w:pPr>
      <w:r>
        <w:rPr>
          <w:rFonts w:ascii="Times New Roman" w:hAnsi="Times New Roman" w:cs="Times New Roman" w:eastAsia="仿宋"/>
          <w:b w:val="0"/>
          <w:sz w:val="28"/>
        </w:rPr>
        <w:t>5月，一位使用Claude Opus 4.8的安全研究员发现了一个存在四年的漏洞，该漏洞可能导致Zcash无限铸造，引发大规模投资者恐慌，并使Zcash在一天内下跌超过40%。Guillemet表示，Ledger在过去两年一直使用AI，配合人类安全工程师和密码学家审查代码，在攻击者利用漏洞之前识别漏洞。</w:t>
      </w:r>
    </w:p>
    <w:p>
      <w:pPr>
        <w:pStyle w:val="正文内容"/>
        <w:spacing w:before="0" w:after="0" w:line="240" w:lineRule="auto"/>
        <w:ind w:left="0" w:right="0" w:firstLine="560"/>
        <w:jc w:val="both"/>
      </w:pPr>
      <w:r>
        <w:rPr>
          <w:rFonts w:ascii="Times New Roman" w:hAnsi="Times New Roman" w:cs="Times New Roman" w:eastAsia="仿宋"/>
          <w:b w:val="0"/>
          <w:sz w:val="28"/>
        </w:rPr>
        <w:t>“我们也不只依赖自己的话，”他解释，“我们的Donjon研究实验室的存在，就是为了在其他人之前尝试破坏我们的产品。”为降低未来风险，他表示，用户评估任何硬件钱包时，应了解其如何生成随机性，以及该过程是否经过独立认证。他说：“随机性必须来自物理，而不是公式。它必须由以打破这种说法为工作的人来认证，而不是由供应商单方面断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原文标题：Ledger Says Coldcard Exploit Shows Bitcoin Wallet Security Must Adapt to AI</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原文链接：https://decrypt.co/374914/ledger-coldcard-exploit-bitcoin-wallet-security-ai</w:t>
      </w:r>
    </w:p>
    <w:p/>
    <w:p>
      <w:pPr>
        <w:pStyle w:val="文章一级标题"/>
        <w:spacing w:before="0" w:after="0" w:line="240" w:lineRule="auto"/>
        <w:ind w:left="0" w:right="0" w:firstLine="0"/>
        <w:jc w:val="center"/>
      </w:pPr>
      <w:r>
        <w:rPr>
          <w:rFonts w:ascii="Times New Roman" w:hAnsi="Times New Roman" w:cs="Times New Roman" w:eastAsia="黑体"/>
          <w:b w:val="0"/>
          <w:sz w:val="30"/>
        </w:rPr>
        <w:t>Bernstein德州电网暂停令不会对比特币矿工产生重大影响</w:t>
      </w:r>
    </w:p>
    <w:p>
      <w:pPr>
        <w:spacing w:before="0" w:after="0" w:line="240" w:lineRule="auto"/>
        <w:ind w:left="0" w:right="0" w:firstLine="0"/>
        <w:jc w:val="both"/>
      </w:pPr>
      <w:r>
        <w:rPr>
          <w:rFonts w:ascii="Times New Roman" w:hAnsi="Times New Roman" w:cs="Times New Roman" w:eastAsia="仿宋"/>
          <w:b w:val="0"/>
          <w:sz w:val="28"/>
        </w:rPr>
        <w:t>· 德州州长Greg Abbott周一指示德州公用事业委员会和ERCOT对所有寻求接入州电网的数据中心进行审计，暂停审批待审计，但未说明审计时长。</w:t>
      </w:r>
    </w:p>
    <w:p>
      <w:pPr>
        <w:spacing w:before="0" w:after="0" w:line="240" w:lineRule="auto"/>
        <w:ind w:left="0" w:right="0" w:firstLine="0"/>
        <w:jc w:val="both"/>
      </w:pPr>
      <w:r>
        <w:rPr>
          <w:rFonts w:ascii="Times New Roman" w:hAnsi="Times New Roman" w:cs="Times New Roman" w:eastAsia="仿宋"/>
          <w:b w:val="0"/>
          <w:sz w:val="28"/>
        </w:rPr>
        <w:t>· Bernstein分析师周二表示，多数在德州运营的比特币矿工已签订获批电力容量合同，预计不会受暂停令影响。</w:t>
      </w:r>
    </w:p>
    <w:p>
      <w:pPr>
        <w:spacing w:before="0" w:after="0" w:line="240" w:lineRule="auto"/>
        <w:ind w:left="0" w:right="0" w:firstLine="0"/>
        <w:jc w:val="both"/>
      </w:pPr>
      <w:r>
        <w:rPr>
          <w:rFonts w:ascii="Times New Roman" w:hAnsi="Times New Roman" w:cs="Times New Roman" w:eastAsia="仿宋"/>
          <w:b w:val="0"/>
          <w:sz w:val="28"/>
        </w:rPr>
        <w:t>· 分析师认为审计将抑制投机性数据中心项目，使有开发历史的站点更有价值；IREN和Riot在德州的运营已完全获得ERCOT电网审批。</w:t>
      </w:r>
    </w:p>
    <w:p>
      <w:pPr>
        <w:pStyle w:val="正文内容"/>
        <w:spacing w:before="0" w:after="0" w:line="240" w:lineRule="auto"/>
        <w:ind w:left="0" w:right="0" w:firstLine="560"/>
        <w:jc w:val="both"/>
      </w:pPr>
      <w:r>
        <w:rPr>
          <w:rFonts w:ascii="Times New Roman" w:hAnsi="Times New Roman" w:cs="Times New Roman" w:eastAsia="仿宋"/>
          <w:b w:val="0"/>
          <w:sz w:val="28"/>
        </w:rPr>
        <w:t>美国德州州长Greg Abbott周一宣布，暂停审批与德州电力可靠性委员会（Electric Reliability Council of Texas，ERCOT）关联的数据中心项目，以待审计。该指令要求德州公用事业委员会和ERCOT对所有寻求接入州电网的数据中心进行审计，但未说明审计时长。据《德州论坛报》（The Texas Tribune）报道，此举正值公众对全州数据中心建设速度的反对声浪日益高涨。</w:t>
      </w:r>
    </w:p>
    <w:p>
      <w:pPr>
        <w:pStyle w:val="正文内容"/>
        <w:spacing w:before="0" w:after="0" w:line="240" w:lineRule="auto"/>
        <w:ind w:left="0" w:right="0" w:firstLine="560"/>
        <w:jc w:val="both"/>
      </w:pPr>
      <w:r>
        <w:rPr>
          <w:rFonts w:ascii="Times New Roman" w:hAnsi="Times New Roman" w:cs="Times New Roman" w:eastAsia="仿宋"/>
          <w:b w:val="0"/>
          <w:sz w:val="28"/>
        </w:rPr>
        <w:t>Bernstein分析师周二告诉客户，由于在德州运营的多数比特币（Bitcoin，BTC）矿工已签订获批电力容量合同，这些运营预计不会受到暂停令的影响。暂停令针对的是数据中心项目的审批，不会影响矿工已获批的电力合同。</w:t>
      </w:r>
    </w:p>
    <w:p>
      <w:pPr>
        <w:pStyle w:val="正文内容"/>
        <w:spacing w:before="0" w:after="0" w:line="240" w:lineRule="auto"/>
        <w:ind w:left="0" w:right="0" w:firstLine="560"/>
        <w:jc w:val="both"/>
      </w:pPr>
      <w:r>
        <w:rPr>
          <w:rFonts w:ascii="Times New Roman" w:hAnsi="Times New Roman" w:cs="Times New Roman" w:eastAsia="仿宋"/>
          <w:b w:val="0"/>
          <w:sz w:val="28"/>
        </w:rPr>
        <w:t>由Gautam Chhugani领导的研究团队在研报中写道：“然而，我们相信，这次审计将抑制投机性数据中心项目，让拥有开发历史的真实站点更有价值。”他们并称，比特币矿场具备最长孕育期、自我筹资基础设施和本地社区管理，处于有利位置。</w:t>
      </w:r>
    </w:p>
    <w:p>
      <w:pPr>
        <w:pStyle w:val="正文内容"/>
        <w:spacing w:before="0" w:after="0" w:line="240" w:lineRule="auto"/>
        <w:ind w:left="0" w:right="0" w:firstLine="560"/>
        <w:jc w:val="both"/>
      </w:pPr>
      <w:r>
        <w:rPr>
          <w:rFonts w:ascii="Times New Roman" w:hAnsi="Times New Roman" w:cs="Times New Roman" w:eastAsia="仿宋"/>
          <w:b w:val="0"/>
          <w:sz w:val="28"/>
        </w:rPr>
        <w:t>分析师表示，Cipher Digital（CIFR）、Core Scientific（CORZ）和CleanSpark（CLSK）的本地运营可能最容易受到未来公众对数据中心扩张反对的影响，尤其是在ERCOT审批过程中将其管线资产转换为电网连接电力容量时。</w:t>
      </w:r>
    </w:p>
    <w:p>
      <w:pPr>
        <w:pStyle w:val="正文内容"/>
        <w:spacing w:before="0" w:after="0" w:line="240" w:lineRule="auto"/>
        <w:ind w:left="0" w:right="0" w:firstLine="560"/>
        <w:jc w:val="both"/>
      </w:pPr>
      <w:r>
        <w:rPr>
          <w:rFonts w:ascii="Times New Roman" w:hAnsi="Times New Roman" w:cs="Times New Roman" w:eastAsia="仿宋"/>
          <w:b w:val="0"/>
          <w:sz w:val="28"/>
        </w:rPr>
        <w:t>他们补充称，随着政治反对声音增加，新容量又被暂停令和州指令所限制，已获批的兆瓦（MW）变得更加宝贵。他们特别提到IREN（IREN）在德州的运营已完全获得ERCOT电网审批，Riot Platforms（RIOT）的运营也同样完全获批。</w:t>
      </w:r>
    </w:p>
    <w:p>
      <w:pPr>
        <w:pStyle w:val="正文内容"/>
        <w:spacing w:before="0" w:after="0" w:line="240" w:lineRule="auto"/>
        <w:ind w:left="0" w:right="0" w:firstLine="560"/>
        <w:jc w:val="both"/>
      </w:pPr>
      <w:r>
        <w:rPr>
          <w:rFonts w:ascii="Times New Roman" w:hAnsi="Times New Roman" w:cs="Times New Roman" w:eastAsia="仿宋"/>
          <w:b w:val="0"/>
          <w:sz w:val="28"/>
        </w:rPr>
        <w:t>CIFR股价周二盘前交易下跌超过7%，据雅虎财经数据。该矿工周二早些时候公布第二季度业绩，每股摊薄亏损0.65美元，较去年同期的每股摊薄亏损0.12美元有所扩大。</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原文标题：Texas electric grid moratorium won’t have big impact on BTC miners： Bernstein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原文链接：https://cointelegraph.com/news/texas-electric-grid-moratorim-btc-miners-bernstein</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2026-07-29 13:36 至 2026-08-05 13:36（北京时间，最近7天）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