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国际区块链法律期刊第10期：监管沙盒与代币化前沿</w:t>
      </w:r>
    </w:p>
    <w:p>
      <w:pPr>
        <w:spacing w:before="0" w:after="0" w:line="240" w:lineRule="auto"/>
        <w:ind w:left="0" w:right="0" w:firstLine="0"/>
        <w:jc w:val="both"/>
      </w:pPr>
      <w:r>
        <w:rPr>
          <w:rFonts w:ascii="Times New Roman" w:hAnsi="Times New Roman" w:cs="Times New Roman" w:eastAsia="仿宋"/>
          <w:b w:val="0"/>
          <w:sz w:val="28"/>
        </w:rPr>
        <w:t>· 香港金管局推出Project Ensemble沙盒，探索代币化资产交易全生命周期，并与法国央行实现跨境原子结算。</w:t>
      </w:r>
    </w:p>
    <w:p>
      <w:pPr>
        <w:spacing w:before="0" w:after="0" w:line="240" w:lineRule="auto"/>
        <w:ind w:left="0" w:right="0" w:firstLine="0"/>
        <w:jc w:val="both"/>
      </w:pPr>
      <w:r>
        <w:rPr>
          <w:rFonts w:ascii="Times New Roman" w:hAnsi="Times New Roman" w:cs="Times New Roman" w:eastAsia="仿宋"/>
          <w:b w:val="0"/>
          <w:sz w:val="28"/>
        </w:rPr>
        <w:t>· 欧洲区块链沙盒提供跨监管对话框架，2023年首批20个用例已发布最佳实践报告，助力创新与合规协调。</w:t>
      </w:r>
    </w:p>
    <w:p>
      <w:pPr>
        <w:spacing w:before="0" w:after="0" w:line="240" w:lineRule="auto"/>
        <w:ind w:left="0" w:right="0" w:firstLine="0"/>
        <w:jc w:val="both"/>
      </w:pPr>
      <w:r>
        <w:rPr>
          <w:rFonts w:ascii="Times New Roman" w:hAnsi="Times New Roman" w:cs="Times New Roman" w:eastAsia="仿宋"/>
          <w:b w:val="0"/>
          <w:sz w:val="28"/>
        </w:rPr>
        <w:t>· 塞浦路斯通过国家区块链战略与CySEC监管沙盒，构建有利创新的DLT监管环境，成为欧洲区块链热点。</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2024年8月28日，香港金融管理局（HKMA）正式启动Project Ensemble沙盒（Sandbox），旨在探索资产代币化（Tokenisation）用例及代币化资产交易的结算。该沙盒是Project Ensemble项目的关键组成部分，后者于2024年3月启动，致力于研究新型金融市场基础设施（Financial Market Infrastructure，FMI），以利用批发型央行数字货币（wholesale Central Bank Digital Currency，wCBDC）实现代币化货币的无缝银行间结算。</w:t>
      </w:r>
    </w:p>
    <w:p>
      <w:pPr>
        <w:pStyle w:val="正文内容"/>
        <w:spacing w:before="0" w:after="0" w:line="240" w:lineRule="auto"/>
        <w:ind w:left="0" w:right="0" w:firstLine="560"/>
        <w:jc w:val="both"/>
      </w:pPr>
      <w:r>
        <w:rPr>
          <w:rFonts w:ascii="Times New Roman" w:hAnsi="Times New Roman" w:cs="Times New Roman" w:eastAsia="仿宋"/>
          <w:b w:val="0"/>
          <w:sz w:val="28"/>
        </w:rPr>
        <w:t>Project Ensemble沙盒被设计为一种新型FMI，支持代币化资产交易的全生命周期，从代币化资产的创建和交易，到使用代币化商业银行存款进行支付和结算，再到通过HKMA发行的wCBDC完成最终银行间结算。沙盒的首轮实验将围绕四大主题和用例类别展开：固定收益与投资基金（债券和基金）、流动性管理（回购和 treasury管理）、绿色与可持续金融（碳信用和电动汽车充电站）、贸易与供应链金融。跨境支付功能也将融入沙盒。</w:t>
      </w:r>
    </w:p>
    <w:p>
      <w:pPr>
        <w:pStyle w:val="正文内容"/>
        <w:spacing w:before="0" w:after="0" w:line="240" w:lineRule="auto"/>
        <w:ind w:left="0" w:right="0" w:firstLine="560"/>
        <w:jc w:val="both"/>
      </w:pPr>
      <w:r>
        <w:rPr>
          <w:rFonts w:ascii="Times New Roman" w:hAnsi="Times New Roman" w:cs="Times New Roman" w:eastAsia="仿宋"/>
          <w:b w:val="0"/>
          <w:sz w:val="28"/>
        </w:rPr>
        <w:t>2024年6月，法国央行（Banque de France，BdF）与HKMA签署谅解备忘录，共同推动wCBDC和代币化市场创新。沙盒启动时，HKMA总裁余伟文强调，沙盒已与法国央行的证券结算分布式账本系统（Distributed Ledger for Securities Settlement System，DL3S）成功连接，试点演示了通过联动系统实现跨境原子结算。香港证券及期货事务监察委员会（SFC）宣布，将共同牵头资产管理行业的代币化倡议，尤其聚焦固定收益与投资基金类别，与HKMA合作提供监管指引并解决行业关切。</w:t>
      </w:r>
    </w:p>
    <w:p>
      <w:pPr>
        <w:pStyle w:val="正文内容"/>
        <w:spacing w:before="0" w:after="0" w:line="240" w:lineRule="auto"/>
        <w:ind w:left="0" w:right="0" w:firstLine="560"/>
        <w:jc w:val="both"/>
      </w:pPr>
      <w:r>
        <w:rPr>
          <w:rFonts w:ascii="Times New Roman" w:hAnsi="Times New Roman" w:cs="Times New Roman" w:eastAsia="仿宋"/>
          <w:b w:val="0"/>
          <w:sz w:val="28"/>
        </w:rPr>
        <w:t>沙盒的启动紧随2024年5月Project Ensemble架构社区（Community）的成立。该社区汇聚银行、科技公司、监管机构（包括SFC）及学术界等多元行业代表，旨在制定支撑wCBDC、代币化货币与代币化资产互操作性的行业标准。社区成员银行已将其代币化存款平台接入沙盒，使沙盒参与者能够试验银行间付款对付款（Payment-versus-Payment，PvP）和交货对付款（Delivery-versus-Payment，DvP）结算。HKMA还计划与国际清算银行创新枢纽香港中心及CBDC专家组深化合作，进一步推进沙盒发展。</w:t>
      </w:r>
    </w:p>
    <w:p>
      <w:pPr>
        <w:pStyle w:val="正文内容"/>
        <w:spacing w:before="0" w:after="0" w:line="240" w:lineRule="auto"/>
        <w:ind w:left="0" w:right="0" w:firstLine="560"/>
        <w:jc w:val="both"/>
      </w:pPr>
      <w:r>
        <w:rPr>
          <w:rFonts w:ascii="Times New Roman" w:hAnsi="Times New Roman" w:cs="Times New Roman" w:eastAsia="仿宋"/>
          <w:b w:val="0"/>
          <w:sz w:val="28"/>
        </w:rPr>
        <w:t>展望未来，沙盒的设计使其能够支持首轮实验之外的各种数字货币和数字资产形式。行业参与者将能通过沙盒试验新的代币化构想，并未来推向市场。HKMA已在积极努力将沙盒演变为可支持香港真实代币化交易的生产级FMI。HKMA与SFC在Project Ensemble上的合作，彰显了监管机构推动代币化及制定代币化资产结算共同标准的决心。</w:t>
      </w:r>
    </w:p>
    <w:p>
      <w:pPr>
        <w:pStyle w:val="正文内容"/>
        <w:spacing w:before="0" w:after="0" w:line="240" w:lineRule="auto"/>
        <w:ind w:left="0" w:right="0" w:firstLine="560"/>
        <w:jc w:val="both"/>
      </w:pPr>
      <w:r>
        <w:rPr>
          <w:rFonts w:ascii="Times New Roman" w:hAnsi="Times New Roman" w:cs="Times New Roman" w:eastAsia="仿宋"/>
          <w:b w:val="0"/>
          <w:sz w:val="28"/>
        </w:rPr>
        <w:t>欧洲区块链监管沙盒（European Blockchain Sandbox）是欧盟委员会（European Commission，EC）的一项倡议，旨在创建泛欧洲框架，促进区块链/分布式账本技术（DLT）创新者与各国及欧盟层面监管机构之间的跨境监管对话。它致力于增强创新区块链/DLT应用的法律确定性，并推动最佳实践的形成。与传统监管沙盒不同，欧洲区块链沙盒不提供法律豁免或监管批准，而是提供一个保密、非正式的对话环境。</w:t>
      </w:r>
    </w:p>
    <w:p>
      <w:pPr>
        <w:pStyle w:val="正文内容"/>
        <w:spacing w:before="0" w:after="0" w:line="240" w:lineRule="auto"/>
        <w:ind w:left="0" w:right="0" w:firstLine="560"/>
        <w:jc w:val="both"/>
      </w:pPr>
      <w:r>
        <w:rPr>
          <w:rFonts w:ascii="Times New Roman" w:hAnsi="Times New Roman" w:cs="Times New Roman" w:eastAsia="仿宋"/>
          <w:b w:val="0"/>
          <w:sz w:val="28"/>
        </w:rPr>
        <w:t>参与欧洲区块链沙盒的用例基于透明、非歧视的申请条件和筛选标准选出。沙盒不涉及对特定法律的豁免，参与用例也非经监管机构“批准”。沙盒内的对话通常比包含监管和运营测试的沙盒更省时。监管对话中识别的最佳实践、经验教训和澄清领域，通过发布最佳实践报告和公开网络研讨会向更广泛社区分享。沙盒对公共和私营部门的广泛区块链/DLT用例开放，包括与AI和物联网（IoT）等技术的结合，重点关注跨行业和跨区域的相关议题。</w:t>
      </w:r>
    </w:p>
    <w:p>
      <w:pPr>
        <w:pStyle w:val="正文内容"/>
        <w:spacing w:before="0" w:after="0" w:line="240" w:lineRule="auto"/>
        <w:ind w:left="0" w:right="0" w:firstLine="560"/>
        <w:jc w:val="both"/>
      </w:pPr>
      <w:r>
        <w:rPr>
          <w:rFonts w:ascii="Times New Roman" w:hAnsi="Times New Roman" w:cs="Times New Roman" w:eastAsia="仿宋"/>
          <w:b w:val="0"/>
          <w:sz w:val="28"/>
        </w:rPr>
        <w:t>欧洲区块链沙盒聚焦的监管领域包括金融业监管、数据保护、非个人数据监管、环境社会治理（ESG）法规、电子身份识别与信任服务（eIDAS）、网络安全、消费者保护、智能合约、责任问题及反洗钱/了解你的客户（AML/KYC）规则。沙盒由Bird &amp; Bird律所牵头的联合体组织，其咨询部门OXYGY和区块链专家Warren Brandeis参与，网站开发由Spindox负责。来自欧洲大学的独立学术专家小组监督年度用例的申请和筛选过程，并牵头年度“最具创新监管机构”奖项评选。</w:t>
      </w:r>
    </w:p>
    <w:p>
      <w:pPr>
        <w:pStyle w:val="正文内容"/>
        <w:spacing w:before="0" w:after="0" w:line="240" w:lineRule="auto"/>
        <w:ind w:left="0" w:right="0" w:firstLine="560"/>
        <w:jc w:val="both"/>
      </w:pPr>
      <w:r>
        <w:rPr>
          <w:rFonts w:ascii="Times New Roman" w:hAnsi="Times New Roman" w:cs="Times New Roman" w:eastAsia="仿宋"/>
          <w:b w:val="0"/>
          <w:sz w:val="28"/>
        </w:rPr>
        <w:t>沙盒旨在帮助DLT/区块链创新者更好理解合规监管框架，并利用欧盟监管工具。项目同时致力于提高监管机构、公共机构及创新者对新兴技术、潜在监管挑战和可行解决方案的认识。通过年度最佳实践报告分享最佳实践和经验教训。2023年启动的首批（第1队列）20个用例，覆盖所有欧盟/欧洲经济区（EEA）地区及多个行业，包括金融/加密资产、可验证凭证、碳排放、数字产品护照、文化资产护照、海关、网络安全、数据共享和去中心化自治组织（DAO）等。</w:t>
      </w:r>
    </w:p>
    <w:p>
      <w:pPr>
        <w:pStyle w:val="正文内容"/>
        <w:spacing w:before="0" w:after="0" w:line="240" w:lineRule="auto"/>
        <w:ind w:left="0" w:right="0" w:firstLine="560"/>
        <w:jc w:val="both"/>
      </w:pPr>
      <w:r>
        <w:rPr>
          <w:rFonts w:ascii="Times New Roman" w:hAnsi="Times New Roman" w:cs="Times New Roman" w:eastAsia="仿宋"/>
          <w:b w:val="0"/>
          <w:sz w:val="28"/>
        </w:rPr>
        <w:t>首轮对话中，部分聚焦于DLT/区块链用例的监管合规，如通用数据保护条例（GDPR）、网络安全、AML和金融业监管；部分探讨DLT/区块链应用如何支持高效合规与监督，如海关、电池护照、数字产品护照（DPP）、文化资产护照及二氧化碳报告；还有部分关注欧盟监管促进因素，如EU数字身份钱包（EUDI Wallet）、eIDAS合格信任服务、数据治理法案下的数据利他组织资格以及加密资产市场法规（MiCAR）。超过50个来自不同监管领域的国家和欧盟监管机构参与了首轮对话。</w:t>
      </w:r>
    </w:p>
    <w:p>
      <w:pPr>
        <w:pStyle w:val="正文内容"/>
        <w:spacing w:before="0" w:after="0" w:line="240" w:lineRule="auto"/>
        <w:ind w:left="0" w:right="0" w:firstLine="560"/>
        <w:jc w:val="both"/>
      </w:pPr>
      <w:r>
        <w:rPr>
          <w:rFonts w:ascii="Times New Roman" w:hAnsi="Times New Roman" w:cs="Times New Roman" w:eastAsia="仿宋"/>
          <w:b w:val="0"/>
          <w:sz w:val="28"/>
        </w:rPr>
        <w:t>参与欧洲区块链沙盒的优势显著：对于创新者，可获得专业法律和监管建议，与多国和欧盟监管机构进行建设性对话，在安全保密环境中澄清合规需求，扩大泛欧洲网络，且申请和参与均免费。对于监管机构，可讨论跨境监管问题，分享经验与想法，增强对前沿技术的了解，有机会获评“最具创新监管机构”，并影响最佳实践和建议的形成。</w:t>
      </w:r>
    </w:p>
    <w:p>
      <w:pPr>
        <w:pStyle w:val="正文内容"/>
        <w:spacing w:before="0" w:after="0" w:line="240" w:lineRule="auto"/>
        <w:ind w:left="0" w:right="0" w:firstLine="560"/>
        <w:jc w:val="both"/>
      </w:pPr>
      <w:r>
        <w:rPr>
          <w:rFonts w:ascii="Times New Roman" w:hAnsi="Times New Roman" w:cs="Times New Roman" w:eastAsia="仿宋"/>
          <w:b w:val="0"/>
          <w:sz w:val="28"/>
        </w:rPr>
        <w:t>DLT和区块链已成为当今世界不可或缺的技术，对几乎所有国家和欧盟监管机构都日益重要。首轮对话产出了广泛的最佳实践和经验教训。反馈非常积极：用例方赞赏监管指导和开放对话机会；监管机构则重视了解DLT用例及进行跨境对话。几乎所有监管机构都表示有兴趣参与下一轮对话。第二和第三队列将更深入探讨各监管主题，关注新技术组合如区块链与AI或IoT的结合。欧洲区块链沙盒的建立是推动欧盟/EEA创新、使欧洲成为创新企业理想落户地的重要一步。</w:t>
      </w:r>
    </w:p>
    <w:p>
      <w:pPr>
        <w:pStyle w:val="正文内容"/>
        <w:spacing w:before="0" w:after="0" w:line="240" w:lineRule="auto"/>
        <w:ind w:left="0" w:right="0" w:firstLine="560"/>
        <w:jc w:val="both"/>
      </w:pPr>
      <w:r>
        <w:rPr>
          <w:rFonts w:ascii="Times New Roman" w:hAnsi="Times New Roman" w:cs="Times New Roman" w:eastAsia="仿宋"/>
          <w:b w:val="0"/>
          <w:sz w:val="28"/>
        </w:rPr>
        <w:t>塞浦路斯正凭借其战略地理位置和欧盟成员国身份，积极定位自身为区块链技术变革的一部分。其不断增长的支付与金融服务部门、对DLT的有利态度以及快速发展的金融科技（Fintech）行业，使塞浦路斯成为区块链、DLT和AI等创新项目的热点司法管辖区之一。自2019年起，塞浦路斯通过国家区块链战略奠定发展基础，最新进展是塞浦路斯证券交易委员会（Cyprus Securities and Exchange Commission，CySEC）启动监管沙盒，这两大举措为营造促进创新的监管环境迈出了重要一步。</w:t>
      </w:r>
    </w:p>
    <w:p>
      <w:pPr>
        <w:pStyle w:val="正文内容"/>
        <w:spacing w:before="0" w:after="0" w:line="240" w:lineRule="auto"/>
        <w:ind w:left="0" w:right="0" w:firstLine="560"/>
        <w:jc w:val="both"/>
      </w:pPr>
      <w:r>
        <w:rPr>
          <w:rFonts w:ascii="Times New Roman" w:hAnsi="Times New Roman" w:cs="Times New Roman" w:eastAsia="仿宋"/>
          <w:b w:val="0"/>
          <w:sz w:val="28"/>
        </w:rPr>
        <w:t>2018年6月，塞浦路斯签署了欧洲区块链伙伴关系（European Blockchain Partnership）；同年12月，与马耳他、法国、希腊、意大利、葡萄牙和西班牙共同发布“南地中海国家DLT联合声明”，旨在加强数字合作，将南欧定位为DLT等前沿技术的领导者。2019年，塞浦路斯通过国家区块链战略，为公共和私营部门利用区块链促进创新、经济增长和透明度搭建框架。作为战略的一部分，CySEC启动创新中心，支持推出基于区块链的创新金融产品和服务的企业。该创新中心仍活跃，并于2024年6月推出了CySEC监管沙盒。</w:t>
      </w:r>
    </w:p>
    <w:p>
      <w:pPr>
        <w:pStyle w:val="正文内容"/>
        <w:spacing w:before="0" w:after="0" w:line="240" w:lineRule="auto"/>
        <w:ind w:left="0" w:right="0" w:firstLine="560"/>
        <w:jc w:val="both"/>
      </w:pPr>
      <w:r>
        <w:rPr>
          <w:rFonts w:ascii="Times New Roman" w:hAnsi="Times New Roman" w:cs="Times New Roman" w:eastAsia="仿宋"/>
          <w:b w:val="0"/>
          <w:sz w:val="28"/>
        </w:rPr>
        <w:t>新冠疫情期间，塞浦路斯政府发起众多项目，呼吁技术和区块链社区合作开发基于DLT的解决方案，应对医疗、企业和公共政府领域的问题，反应热烈，许多初步方案已在其各自行业得到发展和采纳。2021年9月，财政部就拟议的DLT法律草案进行公众咨询，该草案旨在以技术中立方式引入规则，平衡促进新技术与防止洗钱、保护消费者权益的关系，重点监管区块链技术和虚拟货币使用，为金融科技创新提供透明、安全、合规的环境。这一立法框架虽仍在完善中，却是塞浦路斯成为关键区块链中心的第一步。</w:t>
      </w:r>
    </w:p>
    <w:p>
      <w:pPr>
        <w:pStyle w:val="正文内容"/>
        <w:spacing w:before="0" w:after="0" w:line="240" w:lineRule="auto"/>
        <w:ind w:left="0" w:right="0" w:firstLine="560"/>
        <w:jc w:val="both"/>
      </w:pPr>
      <w:r>
        <w:rPr>
          <w:rFonts w:ascii="Times New Roman" w:hAnsi="Times New Roman" w:cs="Times New Roman" w:eastAsia="仿宋"/>
          <w:b w:val="0"/>
          <w:sz w:val="28"/>
        </w:rPr>
        <w:t>CySEC监管沙盒于2024年6月正式启动，为创新金融产品和服务提供受控测试环境。沙盒旨在支持基于DLT和区块链的解决方案，同时确保遵守现有监管要求。沙盒的推出是塞浦路斯更广泛创新议程的一部分，与欧盟监管框架如MiCAR保持一致，并考虑与欧洲区块链沙盒的衔接。沙盒向符合特定标准的实体开放，包括已受监管的实体和初创公司，重点关注那些可能带来监管挑战的新颖用例。通过沙盒，参与者可在有限时间内获得部分监管豁免或放宽，但须遵守严格的条件和报告要求。</w:t>
      </w:r>
    </w:p>
    <w:p>
      <w:pPr>
        <w:pStyle w:val="正文内容"/>
        <w:spacing w:before="0" w:after="0" w:line="240" w:lineRule="auto"/>
        <w:ind w:left="0" w:right="0" w:firstLine="560"/>
        <w:jc w:val="both"/>
      </w:pPr>
      <w:r>
        <w:rPr>
          <w:rFonts w:ascii="Times New Roman" w:hAnsi="Times New Roman" w:cs="Times New Roman" w:eastAsia="仿宋"/>
          <w:b w:val="0"/>
          <w:sz w:val="28"/>
        </w:rPr>
        <w:t>塞浦路斯DLT监管框架面临的主要挑战包括法律确定性不足：DLT法律草案尚未正式通过，导致市场参与者面临不确定性；跨监管机构协调：DLT项目往往涉及多个监管领域，需加强CySEC与其他机构如中央银行和金融情报单位的合作；以及消费者保护与创新的平衡：在鼓励创新的同时，需防范欺诈和系统性风险。此外，塞浦路斯需要进一步发展人才库，培养DLT和区块链领域的专业律师、合规官和技术专家。</w:t>
      </w:r>
    </w:p>
    <w:p>
      <w:pPr>
        <w:pStyle w:val="正文内容"/>
        <w:spacing w:before="0" w:after="0" w:line="240" w:lineRule="auto"/>
        <w:ind w:left="0" w:right="0" w:firstLine="560"/>
        <w:jc w:val="both"/>
      </w:pPr>
      <w:r>
        <w:rPr>
          <w:rFonts w:ascii="Times New Roman" w:hAnsi="Times New Roman" w:cs="Times New Roman" w:eastAsia="仿宋"/>
          <w:b w:val="0"/>
          <w:sz w:val="28"/>
        </w:rPr>
        <w:t>展望未来，塞浦路斯有望在以下方面取得进展：通过DLT法律，建立全面的监管框架；加强跨境合作，尤其是与欧盟监管机构和其他区块链热点司法管辖区的对话；推动CySEC沙盒的实际运营，吸引更多高质量用例；以及探索DLT在传统金融、供应链、医疗和公共服务等领域的实际应用。塞浦路斯国家区块链战略的持续实施，将有助于其巩固作为欧洲DLT创新中心的地位。</w:t>
      </w:r>
    </w:p>
    <w:p>
      <w:pPr>
        <w:pStyle w:val="正文内容"/>
        <w:spacing w:before="0" w:after="0" w:line="240" w:lineRule="auto"/>
        <w:ind w:left="0" w:right="0" w:firstLine="560"/>
        <w:jc w:val="both"/>
      </w:pPr>
      <w:r>
        <w:rPr>
          <w:rFonts w:ascii="Times New Roman" w:hAnsi="Times New Roman" w:cs="Times New Roman" w:eastAsia="仿宋"/>
          <w:b w:val="0"/>
          <w:sz w:val="28"/>
        </w:rPr>
        <w:t>本期《国际区块链法律期刊》还收录了其他重要文章：James Contos等人探讨欧盟、英国和美国的跨境市场准入方法，提出建立安全且创新友好的跨境市场准入框架原则；Edmund Yong等人概述马来西亚首次交易所发行（Initial Exchange Offering，IEO）的监管和立法现状，包括其伊斯兰教法合规性；Max Bernt博士详细解读加密资产报告框架（Crypto-Asset Reporting Framework，CARF），强调其作为风险评估工具而非税负计算工具的作用；Darren Azman等人介绍美国加密货币破产交易的现状，指出资产价值波动和监管演变带来的特殊挑战。</w:t>
      </w:r>
    </w:p>
    <w:p>
      <w:pPr>
        <w:pStyle w:val="正文内容"/>
        <w:spacing w:before="0" w:after="0" w:line="240" w:lineRule="auto"/>
        <w:ind w:left="0" w:right="0" w:firstLine="560"/>
        <w:jc w:val="both"/>
      </w:pPr>
      <w:r>
        <w:rPr>
          <w:rFonts w:ascii="Times New Roman" w:hAnsi="Times New Roman" w:cs="Times New Roman" w:eastAsia="仿宋"/>
          <w:b w:val="0"/>
          <w:sz w:val="28"/>
        </w:rPr>
        <w:t>本期刊还包含Clifford Chance与全球区块链商业理事会（GBBC）在2024年10月1日举办的“探索资产和基金代币化”专题讨论的录音链接。此外，主编Matthias Artzt博士预告，由其担任编辑的《国际AI法律手册》将于2024年11月出版。本期期刊汇聚了来自德国、荷兰、奥地利、塞浦路斯、英国、美国和中国香港等地的专家观点，反映了区块链和加密资产法律领域的全球多元化发展。</w:t>
      </w:r>
    </w:p>
    <w:p>
      <w:pPr>
        <w:pStyle w:val="正文内容"/>
        <w:spacing w:before="0" w:after="0" w:line="240" w:lineRule="auto"/>
        <w:ind w:left="0" w:right="0" w:firstLine="560"/>
        <w:jc w:val="both"/>
      </w:pPr>
      <w:r>
        <w:rPr>
          <w:rFonts w:ascii="Times New Roman" w:hAnsi="Times New Roman" w:cs="Times New Roman" w:eastAsia="仿宋"/>
          <w:b w:val="0"/>
          <w:sz w:val="28"/>
        </w:rPr>
        <w:t>香港的Project Ensemble沙盒、欧洲区块链沙盒以及塞浦路斯的监管创新，共同代表了全球监管机构在应对区块链和DLT创新时的不同路径。香港侧重于建立先进FMI并推动跨境原子结算，欧洲侧重于打造泛欧监管对话平台以协调合规，塞浦路斯则通过国家战略和本土沙盒营造有利于创新的环境。这些举措均表明，监管机构正从被动应对转向主动引导，力求在不扼杀创新的前提下，确保市场诚信和消费者保护。未来，随着技术融合加速（如DLT+AI），监管沙盒和合作框架将发挥更关键的作用，推动全球区块链治理走向成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（信息来源：TRM Labs Resources）</w:t>
      </w:r>
    </w:p>
    <w:p>
      <w:pPr>
        <w:pStyle w:val="原文信息"/>
        <w:spacing w:before="0" w:after="0" w:line="240" w:lineRule="auto"/>
        <w:ind w:left="0" w:right="0" w:firstLine="0"/>
        <w:jc w:val="left"/>
      </w:pPr>
      <w:r>
        <w:rPr>
          <w:rFonts w:ascii="Times New Roman" w:hAnsi="Times New Roman" w:cs="Times New Roman" w:eastAsia="仿宋"/>
          <w:b w:val="0"/>
          <w:sz w:val="18"/>
        </w:rPr>
        <w:t>原文标题：TRM Labs Resources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原文链接：https://assets.ctfassets.net/so75yocayyva/3lwsDOoaPC9qARIuwobLRj/984ebb9d3ecfe58e7957675748ba199d/23.10.24_IJBL_V10_2024_final.pdf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PDF文件：reports/2026/research_sources/20260604/TRM_Labs_Resources_TRM_Labs_Resources_474476ca.pdf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