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TheAltcoinVector#57GlassnodeResearch</w:t>
      </w:r>
    </w:p>
    <w:p>
      <w:pPr>
        <w:pStyle w:val="ListParagraph"/>
        <w:spacing w:before="0" w:after="0" w:line="360" w:lineRule="auto"/>
        <w:ind w:left="0" w:firstLine="0"/>
      </w:pPr>
      <w:r>
        <w:rPr>
          <w:rFonts w:ascii="Times New Roman" w:hAnsi="Times New Roman" w:cs="Times New Roman" w:eastAsia="楷体"/>
          <w:b w:val="0"/>
          <w:sz w:val="28"/>
        </w:rPr>
        <w:t>· 山寨币向量#57GlassnodeResearch</w:t>
      </w:r>
    </w:p>
    <w:p>
      <w:pPr>
        <w:pStyle w:val="ListParagraph"/>
        <w:spacing w:before="0" w:after="0" w:line="360" w:lineRule="auto"/>
        <w:ind w:left="0" w:firstLine="0"/>
      </w:pPr>
      <w:r>
        <w:rPr>
          <w:rFonts w:ascii="Times New Roman" w:hAnsi="Times New Roman" w:cs="Times New Roman" w:eastAsia="楷体"/>
          <w:b w:val="0"/>
          <w:sz w:val="28"/>
        </w:rPr>
        <w:t>· TheAltcoinVector#57GlassnodeResearch</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替代币向量第57期Glassnode研究</w:t>
      </w:r>
    </w:p>
    <w:p>
      <w:pPr>
        <w:pStyle w:val="ListParagraph"/>
        <w:spacing w:before="0" w:after="0" w:line="360" w:lineRule="auto"/>
        <w:ind w:left="0" w:firstLine="0"/>
      </w:pPr>
      <w:r>
        <w:rPr>
          <w:rFonts w:ascii="Times New Roman" w:hAnsi="Times New Roman" w:cs="Times New Roman" w:eastAsia="楷体"/>
          <w:b w:val="0"/>
          <w:sz w:val="28"/>
        </w:rPr>
        <w:t>· 以太坊瞄准3500美元Glamsterdam升级目标第三季度</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山寨币向量#57Glassnode研究</w:t>
      </w:r>
    </w:p>
    <w:p>
      <w:pPr>
        <w:pStyle w:val="ListParagraph"/>
        <w:spacing w:before="0" w:after="0" w:line="360" w:lineRule="auto"/>
        <w:ind w:left="0" w:firstLine="0"/>
      </w:pPr>
      <w:r>
        <w:rPr>
          <w:rFonts w:ascii="Times New Roman" w:hAnsi="Times New Roman" w:cs="Times New Roman" w:eastAsia="楷体"/>
          <w:b w:val="0"/>
          <w:sz w:val="28"/>
        </w:rPr>
        <w:t>· Altcoin向量第57期Glassnode研究</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TheAltcoinVector#57GlassnodeResearch</w:t>
      </w:r>
    </w:p>
    <w:p>
      <w:pPr>
        <w:pStyle w:val="ListParagraph"/>
        <w:spacing w:before="0" w:after="0" w:line="360" w:lineRule="auto"/>
        <w:ind w:left="0" w:firstLine="0"/>
      </w:pPr>
      <w:r>
        <w:rPr>
          <w:rFonts w:ascii="Times New Roman" w:hAnsi="Times New Roman" w:cs="Times New Roman" w:eastAsia="楷体"/>
          <w:b w:val="0"/>
          <w:sz w:val="28"/>
        </w:rPr>
        <w:t>· 山寨币向量第57期GlassnodeResearch</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TheAltcoinVector#57GlassnodeResearch</w:t>
      </w:r>
    </w:p>
    <w:p>
      <w:pPr>
        <w:spacing w:before="0" w:after="0" w:line="240" w:lineRule="auto"/>
        <w:ind w:left="0" w:right="0" w:firstLine="0"/>
        <w:jc w:val="both"/>
      </w:pPr>
      <w:r>
        <w:rPr>
          <w:rFonts w:ascii="Times New Roman" w:hAnsi="Times New Roman" w:cs="Times New Roman" w:eastAsia="仿宋"/>
          <w:b w:val="0"/>
          <w:sz w:val="28"/>
        </w:rPr>
        <w:t>· The Altcoin Vector #57 Glassnode Research</w:t>
      </w:r>
    </w:p>
    <w:p>
      <w:pPr>
        <w:pStyle w:val="正文内容"/>
        <w:spacing w:before="0" w:after="0" w:line="240" w:lineRule="auto"/>
        <w:ind w:left="0" w:right="0" w:firstLine="560"/>
        <w:jc w:val="both"/>
      </w:pPr>
      <w:r>
        <w:rPr>
          <w:rFonts w:ascii="Times New Roman" w:hAnsi="Times New Roman" w:cs="Times New Roman" w:eastAsia="仿宋"/>
          <w:b w:val="0"/>
          <w:sz w:val="28"/>
        </w:rPr>
        <w:t>The Altcoin Vector #57 Glassnode Research</w:t>
      </w:r>
    </w:p>
    <w:p>
      <w:pPr>
        <w:pStyle w:val="正文内容"/>
        <w:spacing w:before="0" w:after="0" w:line="240" w:lineRule="auto"/>
        <w:ind w:left="0" w:right="0" w:firstLine="560"/>
        <w:jc w:val="both"/>
      </w:pPr>
      <w:r>
        <w:rPr>
          <w:rFonts w:ascii="Times New Roman" w:hAnsi="Times New Roman" w:cs="Times New Roman" w:eastAsia="仿宋"/>
          <w:b w:val="0"/>
          <w:sz w:val="28"/>
        </w:rPr>
        <w:t>原文内容为CSS字体定义，无有效新闻正文，仅摘要包含上述文字。</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山寨币向量#57GlassnodeResearch</w:t>
      </w:r>
    </w:p>
    <w:p>
      <w:pPr>
        <w:spacing w:before="0" w:after="0" w:line="240" w:lineRule="auto"/>
        <w:ind w:left="0" w:right="0" w:firstLine="0"/>
        <w:jc w:val="both"/>
      </w:pPr>
      <w:r>
        <w:rPr>
          <w:rFonts w:ascii="Times New Roman" w:hAnsi="Times New Roman" w:cs="Times New Roman" w:eastAsia="仿宋"/>
          <w:b w:val="0"/>
          <w:sz w:val="28"/>
        </w:rPr>
        <w:t>· 原文仅包含CSS字体定义和标题，无实质性新闻内容。</w:t>
      </w:r>
    </w:p>
    <w:p>
      <w:pPr>
        <w:pStyle w:val="正文内容"/>
        <w:spacing w:before="0" w:after="0" w:line="240" w:lineRule="auto"/>
        <w:ind w:left="0" w:right="0" w:firstLine="560"/>
        <w:jc w:val="both"/>
      </w:pPr>
      <w:r>
        <w:rPr>
          <w:rFonts w:ascii="Times New Roman" w:hAnsi="Times New Roman" w:cs="Times New Roman" w:eastAsia="仿宋"/>
          <w:b w:val="0"/>
          <w:sz w:val="28"/>
        </w:rPr>
        <w:t>原文无实质内容，仅含标题和字体样式信息。</w:t>
      </w:r>
    </w:p>
    <w:p>
      <w:pPr>
        <w:pStyle w:val="正文内容"/>
        <w:spacing w:before="0" w:after="0" w:line="240" w:lineRule="auto"/>
        <w:ind w:left="0" w:right="0" w:firstLine="560"/>
        <w:jc w:val="both"/>
      </w:pPr>
      <w:r>
        <w:rPr>
          <w:rFonts w:ascii="Times New Roman" w:hAnsi="Times New Roman" w:cs="Times New Roman" w:eastAsia="仿宋"/>
          <w:b w:val="0"/>
          <w:sz w:val="28"/>
        </w:rPr>
        <w:t>原文为CSS字体定义，用于加载Google Sans Text字体，无新闻正文。</w:t>
      </w:r>
    </w:p>
    <w:p>
      <w:pPr>
        <w:pStyle w:val="正文内容"/>
        <w:spacing w:before="0" w:after="0" w:line="240" w:lineRule="auto"/>
        <w:ind w:left="0" w:right="0" w:firstLine="560"/>
        <w:jc w:val="both"/>
      </w:pPr>
      <w:r>
        <w:rPr>
          <w:rFonts w:ascii="Times New Roman" w:hAnsi="Times New Roman" w:cs="Times New Roman" w:eastAsia="仿宋"/>
          <w:b w:val="0"/>
          <w:sz w:val="28"/>
        </w:rPr>
        <w:t>摘要标题为“山寨币向量 #57 - Glassnode Research”，但无具体研究内容。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TheAltcoinVector#57GlassnodeResearch</w:t>
      </w:r>
    </w:p>
    <w:p>
      <w:pPr>
        <w:spacing w:before="0" w:after="0" w:line="240" w:lineRule="auto"/>
        <w:ind w:left="0" w:right="0" w:firstLine="0"/>
        <w:jc w:val="both"/>
      </w:pPr>
      <w:r>
        <w:rPr>
          <w:rFonts w:ascii="Times New Roman" w:hAnsi="Times New Roman" w:cs="Times New Roman" w:eastAsia="仿宋"/>
          <w:b w:val="0"/>
          <w:sz w:val="28"/>
        </w:rPr>
        <w:t>· 这是一份Glassnode Research发布的加密资产研究简报。</w:t>
      </w:r>
    </w:p>
    <w:p>
      <w:pPr>
        <w:pStyle w:val="正文内容"/>
        <w:spacing w:before="0" w:after="0" w:line="240" w:lineRule="auto"/>
        <w:ind w:left="0" w:right="0" w:firstLine="560"/>
        <w:jc w:val="both"/>
      </w:pPr>
      <w:r>
        <w:rPr>
          <w:rFonts w:ascii="Times New Roman" w:hAnsi="Times New Roman" w:cs="Times New Roman" w:eastAsia="仿宋"/>
          <w:b w:val="0"/>
          <w:sz w:val="28"/>
        </w:rPr>
        <w:t>The Altcoin Vector #57 Glassnode Research</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替代币向量第57期Glassnode研究</w:t>
      </w:r>
    </w:p>
    <w:p>
      <w:pPr>
        <w:spacing w:before="0" w:after="0" w:line="240" w:lineRule="auto"/>
        <w:ind w:left="0" w:right="0" w:firstLine="0"/>
        <w:jc w:val="both"/>
      </w:pPr>
      <w:r>
        <w:rPr>
          <w:rFonts w:ascii="Times New Roman" w:hAnsi="Times New Roman" w:cs="Times New Roman" w:eastAsia="仿宋"/>
          <w:b w:val="0"/>
          <w:sz w:val="28"/>
        </w:rPr>
        <w:t>· Glassnode Research发布了“The Altcoin Vector #57”报告。</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Research于2026年6月4日发布了最新一期报告“The Altcoin Vector #57”。</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Research发布了名为“The Altcoin Vector #57”的研究报告。</w:t>
      </w:r>
    </w:p>
    <w:p>
      <w:pPr>
        <w:pStyle w:val="正文内容"/>
        <w:spacing w:before="0" w:after="0" w:line="240" w:lineRule="auto"/>
        <w:ind w:left="0" w:right="0" w:firstLine="560"/>
        <w:jc w:val="both"/>
      </w:pPr>
      <w:r>
        <w:rPr>
          <w:rFonts w:ascii="Times New Roman" w:hAnsi="Times New Roman" w:cs="Times New Roman" w:eastAsia="仿宋"/>
          <w:b w:val="0"/>
          <w:sz w:val="28"/>
        </w:rPr>
        <w:t>该报告标题为“The Altcoin Vector #57”。</w:t>
      </w:r>
    </w:p>
    <w:p>
      <w:pPr>
        <w:pStyle w:val="正文内容"/>
        <w:spacing w:before="0" w:after="0" w:line="240" w:lineRule="auto"/>
        <w:ind w:left="0" w:right="0" w:firstLine="560"/>
        <w:jc w:val="both"/>
      </w:pPr>
      <w:r>
        <w:rPr>
          <w:rFonts w:ascii="Times New Roman" w:hAnsi="Times New Roman" w:cs="Times New Roman" w:eastAsia="仿宋"/>
          <w:b w:val="0"/>
          <w:sz w:val="28"/>
        </w:rPr>
        <w:t>报告内容源自Glassnode Research。</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以太坊瞄准3500美元Glamsterdam升级目标第三季度</w:t>
      </w:r>
    </w:p>
    <w:p>
      <w:pPr>
        <w:spacing w:before="0" w:after="0" w:line="240" w:lineRule="auto"/>
        <w:ind w:left="0" w:right="0" w:firstLine="0"/>
        <w:jc w:val="both"/>
      </w:pPr>
      <w:r>
        <w:rPr>
          <w:rFonts w:ascii="Times New Roman" w:hAnsi="Times New Roman" w:cs="Times New Roman" w:eastAsia="仿宋"/>
          <w:b w:val="0"/>
          <w:sz w:val="28"/>
        </w:rPr>
        <w:t>· 以太坊在2025年完成了Pectra和Fusaka两次硬分叉，确立了每半年一次的升级节奏，交付了11个EIP并将验证者质押上限提高至2048 ETH。</w:t>
      </w:r>
    </w:p>
    <w:p>
      <w:pPr>
        <w:spacing w:before="0" w:after="0" w:line="240" w:lineRule="auto"/>
        <w:ind w:left="0" w:right="0" w:firstLine="0"/>
        <w:jc w:val="both"/>
      </w:pPr>
      <w:r>
        <w:rPr>
          <w:rFonts w:ascii="Times New Roman" w:hAnsi="Times New Roman" w:cs="Times New Roman" w:eastAsia="仿宋"/>
          <w:b w:val="0"/>
          <w:sz w:val="28"/>
        </w:rPr>
        <w:t>· 预计2026年第二或第三季度进行的Glamsterdam升级将引入Verkle树以实现无状态客户端，推动汇总层可持续吞吐量超过10万TPS。</w:t>
      </w:r>
    </w:p>
    <w:p>
      <w:pPr>
        <w:spacing w:before="0" w:after="0" w:line="240" w:lineRule="auto"/>
        <w:ind w:left="0" w:right="0" w:firstLine="0"/>
        <w:jc w:val="both"/>
      </w:pPr>
      <w:r>
        <w:rPr>
          <w:rFonts w:ascii="Times New Roman" w:hAnsi="Times New Roman" w:cs="Times New Roman" w:eastAsia="仿宋"/>
          <w:b w:val="0"/>
          <w:sz w:val="28"/>
        </w:rPr>
        <w:t>· ETH在2026年6月初交易价约为1970美元，分析师预测恢复区间在2200至3500美元之间。</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初，以太坊交易价约为1970美元，较2025年8月创下的4951美元历史高点下跌逾60%。然而在价格压缩背后，是该网络历史上最激进的工程日程：以太坊基金会于2月发布了2026年协议优先事项，围绕三大支柱重组开发，2025年已完成两次硬分叉，2026年还将进行两次。本文考察了未来技术里程碑、当前价格走势的市场定位以及分析师对未来六个月的预期。</w:t>
      </w:r>
    </w:p>
    <w:p>
      <w:pPr>
        <w:pStyle w:val="正文内容"/>
        <w:spacing w:before="0" w:after="0" w:line="240" w:lineRule="auto"/>
        <w:ind w:left="0" w:right="0" w:firstLine="560"/>
        <w:jc w:val="both"/>
      </w:pPr>
      <w:r>
        <w:rPr>
          <w:rFonts w:ascii="Times New Roman" w:hAnsi="Times New Roman" w:cs="Times New Roman" w:eastAsia="仿宋"/>
          <w:b w:val="0"/>
          <w:sz w:val="28"/>
        </w:rPr>
        <w:t>以太坊（Ethereum，ETH）在2026年6月初交易价约为1970美元，较2025年8月创下的4951美元历史最高点下跌逾60%。然而在价格压缩背后，是该网络历史上最激进的工程日程。以太坊基金会于2月发布了2026年协议优先事项，围绕三大支柱重组开发：扩展（Scale）、用户体验改进（UX Improvement）和一层加固（L1 Hardening）。2025年完成了两次硬分叉，2026年还计划进行两次。</w:t>
      </w:r>
    </w:p>
    <w:p>
      <w:pPr>
        <w:pStyle w:val="正文内容"/>
        <w:spacing w:before="0" w:after="0" w:line="240" w:lineRule="auto"/>
        <w:ind w:left="0" w:right="0" w:firstLine="560"/>
        <w:jc w:val="both"/>
      </w:pPr>
      <w:r>
        <w:rPr>
          <w:rFonts w:ascii="Times New Roman" w:hAnsi="Times New Roman" w:cs="Times New Roman" w:eastAsia="仿宋"/>
          <w:b w:val="0"/>
          <w:sz w:val="28"/>
        </w:rPr>
        <w:t>Pectra升级于2025年5月7日启动，将Prague执行层和Electra共识层合并为一次部署，包含11个以太坊改进提案（EIP）。据Consensys称，这是以太坊历史上最大的一次硬分叉。EIP-7251将最大有效验证者余额从32 ETH提高至2048 ETH，整合了验证者集合并减轻了对等网络压力。EIP-7702引入了账户抽象原语，允许外部账户在单次交易中委托智能合约逻辑。Fusaka紧随其后于2025年12月进行，提供了额外的数据可用性改进，增加了汇总层的blob吞吐量。两者共同将以太坊从每年一次升级转变为结构化的每半年一次发布周期。</w:t>
      </w:r>
    </w:p>
    <w:p>
      <w:pPr>
        <w:pStyle w:val="正文内容"/>
        <w:spacing w:before="0" w:after="0" w:line="240" w:lineRule="auto"/>
        <w:ind w:left="0" w:right="0" w:firstLine="560"/>
        <w:jc w:val="both"/>
      </w:pPr>
      <w:r>
        <w:rPr>
          <w:rFonts w:ascii="Times New Roman" w:hAnsi="Times New Roman" w:cs="Times New Roman" w:eastAsia="仿宋"/>
          <w:b w:val="0"/>
          <w:sz w:val="28"/>
        </w:rPr>
        <w:t>下一个里程碑是Glamsterdam升级，结合了Glam共识层和Amsterdam执行层的变更。核心计划功能包括完整的Verkle树实现，这将实现无状态客户端，并大幅降低运行节点的硬件要求。Trent Bolar在分析中写道：“Glamsterdam预计是以太坊路线图中‘Surge’部分被视为完成前的最后一步，将在保持完全去中心化的同时，推动Layer 2生态系统可持续吞吐量超过10万TPS。”第二次分叉代号Heze-Bogota计划于年底进行，将针对反审查机制和早期量子安全准备。2026年2月的协议优先事项文件概述了EIP-7701和EIP-8141，用于原生账户抽象，建立在Pectra中EIP-7702的基础上。</w:t>
      </w:r>
    </w:p>
    <w:p>
      <w:pPr>
        <w:pStyle w:val="正文内容"/>
        <w:spacing w:before="0" w:after="0" w:line="240" w:lineRule="auto"/>
        <w:ind w:left="0" w:right="0" w:firstLine="560"/>
        <w:jc w:val="both"/>
      </w:pPr>
      <w:r>
        <w:rPr>
          <w:rFonts w:ascii="Times New Roman" w:hAnsi="Times New Roman" w:cs="Times New Roman" w:eastAsia="仿宋"/>
          <w:b w:val="0"/>
          <w:sz w:val="28"/>
        </w:rPr>
        <w:t>ETH当前交易价约1970美元（截至2026年6月1日，CoinDCX数据）。14日相对强弱指标（RSI）为33.56，接近超卖区域。50日均线位于2194美元，200日均线位于2509美元，当前价格远低于这两条趋势指标。InvestingHaven预测2026年交易区间为1800至3500美元，平均预测接近2700美元。Changelly的模型估计2026年12月上限为2582美元。LiteFinance引用乐观情景可能使ETH测试5301美元，由Layer 2增长和机构需求驱动。CoinDCX报道称，Coinpaper高级加密市场分析师Alex Thornton指出，约74%的以太坊供应目前处于盈利状态，30天实现价格估计接近1980美元。长期持有者供应正在增加，符合积累而非分配模式。</w:t>
      </w:r>
    </w:p>
    <w:p>
      <w:pPr>
        <w:pStyle w:val="正文内容"/>
        <w:spacing w:before="0" w:after="0" w:line="240" w:lineRule="auto"/>
        <w:ind w:left="0" w:right="0" w:firstLine="560"/>
        <w:jc w:val="both"/>
      </w:pPr>
      <w:r>
        <w:rPr>
          <w:rFonts w:ascii="Times New Roman" w:hAnsi="Times New Roman" w:cs="Times New Roman" w:eastAsia="仿宋"/>
          <w:b w:val="0"/>
          <w:sz w:val="28"/>
        </w:rPr>
        <w:t>以太坊的升级历史呈现出戏剧性减少而技术范围扩大的模式。2022年9月的合并（The Merge）消除了工作量证明挖矿；2023年4月的Shapella解锁了质押提款；2024年3月的Dencun推出了原始数据分片；2025年5月的Pectra实现了验证者整合和账户抽象。每次分叉都针对更窄但更深的技术层。2026年的路线图延续这一轨迹：Glamsterdam针对状态管理层本身，而Heze-Bogota则开始为支撑共识的密码学原语进行量子防护。对于关注网络成熟度的机构投资者来说，这一进展至关重要：每个升级周期减少一种特定风险——能源风险（合并）、流动性风险（Shapella）、成本风险（Dencun）、验证者碎片化风险（Pectra），以及现在的硬件可访问性风险（Glamsterdam）。累积效果是协议逐渐减少对任何单一基础设施提供商的信任。</w:t>
      </w:r>
    </w:p>
    <w:p>
      <w:pPr>
        <w:pStyle w:val="正文内容"/>
        <w:spacing w:before="0" w:after="0" w:line="240" w:lineRule="auto"/>
        <w:ind w:left="0" w:right="0" w:firstLine="560"/>
        <w:jc w:val="both"/>
      </w:pPr>
      <w:r>
        <w:rPr>
          <w:rFonts w:ascii="Times New Roman" w:hAnsi="Times New Roman" w:cs="Times New Roman" w:eastAsia="仿宋"/>
          <w:b w:val="0"/>
          <w:sz w:val="28"/>
        </w:rPr>
        <w:t>在监管方面，以太坊受益于2026年3月美国证券交易委员会（SEC）和商品期货交易委员会（CFTC）联合框架，该框架将16种数字资产分类为商品。ETH与比特币一同归入CFTC监管，消除了2024年至2025年初困扰该资产的剩余证券执法风险。2024年批准的现货以太坊ETF现在在更清晰的管辖边界下运行，应能降低发行人和托管人的合规成本。</w:t>
      </w:r>
    </w:p>
    <w:p>
      <w:pPr>
        <w:pStyle w:val="正文内容"/>
        <w:spacing w:before="0" w:after="0" w:line="240" w:lineRule="auto"/>
        <w:ind w:left="0" w:right="0" w:firstLine="560"/>
        <w:jc w:val="both"/>
      </w:pPr>
      <w:r>
        <w:rPr>
          <w:rFonts w:ascii="Times New Roman" w:hAnsi="Times New Roman" w:cs="Times New Roman" w:eastAsia="仿宋"/>
          <w:b w:val="0"/>
          <w:sz w:val="28"/>
        </w:rPr>
        <w:t>Glamsterdam升级是最近的催化剂，开发网测试已在进行，主网目标在2026年第二或第三季度。如果Verkle树实施未出现延迟，无状态客户端采用可能在年底前吸引新一类节点运营商。2026年底的Heze-Bogota分叉将进一步测试开发者在每半年一次的节奏中的协调能力。本文引用的所有价格预测均基于分析师模型和历史模式，属推测性质。加密货币价格波动剧烈，历史表现不保证未来结果。</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（信息来源：Bing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原文链接：https://financefeeds.com/ethereum-eyes-3500-as-glamsterdam-upgrade/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山寨币向量#57Glassnode研究</w:t>
      </w:r>
    </w:p>
    <w:p>
      <w:pPr>
        <w:spacing w:before="0" w:after="0" w:line="240" w:lineRule="auto"/>
        <w:ind w:left="0" w:right="0" w:firstLine="0"/>
        <w:jc w:val="both"/>
      </w:pPr>
      <w:r>
        <w:rPr>
          <w:rFonts w:ascii="Times New Roman" w:hAnsi="Times New Roman" w:cs="Times New Roman" w:eastAsia="仿宋"/>
          <w:b w:val="0"/>
          <w:sz w:val="28"/>
        </w:rPr>
        <w:t>· 该报告标题为《The Altcoin Vector #57》</w:t>
      </w:r>
    </w:p>
    <w:p>
      <w:pPr>
        <w:pStyle w:val="正文内容"/>
        <w:spacing w:before="0" w:after="0" w:line="240" w:lineRule="auto"/>
        <w:ind w:left="0" w:right="0" w:firstLine="560"/>
        <w:jc w:val="both"/>
      </w:pPr>
      <w:r>
        <w:rPr>
          <w:rFonts w:ascii="Times New Roman" w:hAnsi="Times New Roman" w:cs="Times New Roman" w:eastAsia="仿宋"/>
          <w:b w:val="0"/>
          <w:sz w:val="28"/>
        </w:rPr>
        <w:t>该报告无实质性文本内容。</w:t>
      </w:r>
    </w:p>
    <w:p>
      <w:pPr>
        <w:pStyle w:val="正文内容"/>
        <w:spacing w:before="0" w:after="0" w:line="240" w:lineRule="auto"/>
        <w:ind w:left="0" w:right="0" w:firstLine="560"/>
        <w:jc w:val="both"/>
      </w:pPr>
      <w:r>
        <w:rPr>
          <w:rFonts w:ascii="Times New Roman" w:hAnsi="Times New Roman" w:cs="Times New Roman" w:eastAsia="仿宋"/>
          <w:b w:val="0"/>
          <w:sz w:val="28"/>
        </w:rPr>
        <w:t>原文仅为CSS字体样式代码。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Altcoin向量第57期Glassnode研究</w:t>
      </w:r>
    </w:p>
    <w:p>
      <w:pPr>
        <w:spacing w:before="0" w:after="0" w:line="240" w:lineRule="auto"/>
        <w:ind w:left="0" w:right="0" w:firstLine="0"/>
        <w:jc w:val="both"/>
      </w:pPr>
      <w:r>
        <w:rPr>
          <w:rFonts w:ascii="Times New Roman" w:hAnsi="Times New Roman" w:cs="Times New Roman" w:eastAsia="仿宋"/>
          <w:b w:val="0"/>
          <w:sz w:val="28"/>
        </w:rPr>
        <w:t>· 本期为Altcoin向量第57期。</w:t>
      </w:r>
    </w:p>
    <w:p>
      <w:pPr>
        <w:spacing w:before="0" w:after="0" w:line="240" w:lineRule="auto"/>
        <w:ind w:left="0" w:right="0" w:firstLine="0"/>
        <w:jc w:val="both"/>
      </w:pPr>
      <w:r>
        <w:rPr>
          <w:rFonts w:ascii="Times New Roman" w:hAnsi="Times New Roman" w:cs="Times New Roman" w:eastAsia="仿宋"/>
          <w:b w:val="0"/>
          <w:sz w:val="28"/>
        </w:rPr>
        <w:t>· 由Glassnode Research发布。</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Research发布Altcoin向量第57期。</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Research发布了Altcoin向量第57期。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TheAltcoinVector#57GlassnodeResearch</w:t>
      </w:r>
    </w:p>
    <w:p>
      <w:pPr>
        <w:spacing w:before="0" w:after="0" w:line="240" w:lineRule="auto"/>
        <w:ind w:left="0" w:right="0" w:firstLine="0"/>
        <w:jc w:val="both"/>
      </w:pPr>
      <w:r>
        <w:rPr>
          <w:rFonts w:ascii="Times New Roman" w:hAnsi="Times New Roman" w:cs="Times New Roman" w:eastAsia="仿宋"/>
          <w:b w:val="0"/>
          <w:sz w:val="28"/>
        </w:rPr>
        <w:t>· Glassnode Research发布了The Altcoin Vector第57期。</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Research发布了The Altcoin Vector第57期。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山寨币向量第57期GlassnodeResearch</w:t>
      </w:r>
    </w:p>
    <w:p>
      <w:pPr>
        <w:spacing w:before="0" w:after="0" w:line="240" w:lineRule="auto"/>
        <w:ind w:left="0" w:right="0" w:firstLine="0"/>
        <w:jc w:val="both"/>
      </w:pPr>
      <w:r>
        <w:rPr>
          <w:rFonts w:ascii="Times New Roman" w:hAnsi="Times New Roman" w:cs="Times New Roman" w:eastAsia="仿宋"/>
          <w:b w:val="0"/>
          <w:sz w:val="28"/>
        </w:rPr>
        <w:t>· 该内容来自Glassnode Research的“The Altcoin Vector #57”</w:t>
      </w:r>
    </w:p>
    <w:p>
      <w:pPr>
        <w:pStyle w:val="正文内容"/>
        <w:spacing w:before="0" w:after="0" w:line="240" w:lineRule="auto"/>
        <w:ind w:left="0" w:right="0" w:firstLine="560"/>
        <w:jc w:val="both"/>
      </w:pPr>
      <w:r>
        <w:rPr>
          <w:rFonts w:ascii="Times New Roman" w:hAnsi="Times New Roman" w:cs="Times New Roman" w:eastAsia="仿宋"/>
          <w:b w:val="0"/>
          <w:sz w:val="28"/>
        </w:rPr>
        <w:t>简要浏览Glassnode Research发布的第57期《山寨币向量》内容。</w:t>
      </w:r>
    </w:p>
    <w:p>
      <w:pPr>
        <w:pStyle w:val="正文内容"/>
        <w:spacing w:before="0" w:after="0" w:line="240" w:lineRule="auto"/>
        <w:ind w:left="0" w:right="0" w:firstLine="560"/>
        <w:jc w:val="both"/>
      </w:pPr>
      <w:r>
        <w:rPr>
          <w:rFonts w:ascii="Times New Roman" w:hAnsi="Times New Roman" w:cs="Times New Roman" w:eastAsia="仿宋"/>
          <w:b w:val="0"/>
          <w:sz w:val="28"/>
        </w:rPr>
        <w:t>根据所提供材料，该文章标题为“The Altcoin Vector #57 - Glassnode Research”，由Glassnode Research发布。</w:t>
      </w:r>
    </w:p>
    <w:p>
      <w:pPr>
        <w:pStyle w:val="正文内容"/>
        <w:spacing w:before="0" w:after="0" w:line="240" w:lineRule="auto"/>
        <w:ind w:left="0" w:right="0" w:firstLine="560"/>
        <w:jc w:val="both"/>
      </w:pPr>
      <w:r>
        <w:rPr>
          <w:rFonts w:ascii="Times New Roman" w:hAnsi="Times New Roman" w:cs="Times New Roman" w:eastAsia="仿宋"/>
          <w:b w:val="0"/>
          <w:sz w:val="28"/>
        </w:rPr>
        <w:t>摘要内容即为“The Altcoin Vector #57 Glassnode Research”。</w:t>
      </w:r>
    </w:p>
    <w:p>
      <w:pPr>
        <w:pStyle w:val="正文内容"/>
        <w:spacing w:before="0" w:after="0" w:line="240" w:lineRule="auto"/>
        <w:ind w:left="0" w:right="0" w:firstLine="560"/>
        <w:jc w:val="both"/>
      </w:pPr>
      <w:r>
        <w:rPr>
          <w:rFonts w:ascii="Times New Roman" w:hAnsi="Times New Roman" w:cs="Times New Roman" w:eastAsia="仿宋"/>
          <w:b w:val="0"/>
          <w:sz w:val="28"/>
        </w:rPr>
        <w:t>稿件正文为一系列CSS字体定义，并无其它新闻性内容。</w:t>
      </w:r>
    </w:p>
    <w:p>
      <w:pPr>
        <w:pStyle w:val="正文内容"/>
        <w:spacing w:before="0" w:after="0" w:line="240" w:lineRule="auto"/>
        <w:ind w:left="0" w:right="0" w:firstLine="560"/>
        <w:jc w:val="both"/>
      </w:pPr>
      <w:r>
        <w:rPr>
          <w:rFonts w:ascii="Times New Roman" w:hAnsi="Times New Roman" w:cs="Times New Roman" w:eastAsia="仿宋"/>
          <w:b w:val="0"/>
          <w:sz w:val="28"/>
        </w:rPr>
        <w:t>因此，本文仅为标题和摘要的忠实翻译。</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#57 - 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15:30 至 2026-06-04 15:30（北京时间，最近3天）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