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黑体"/>
          <w:b w:val="0"/>
          <w:color w:val="2F5496"/>
          <w:sz w:val="32"/>
        </w:rPr>
        <w:t>专题研究</w:t>
      </w:r>
    </w:p>
    <w:p>
      <w:pPr>
        <w:jc w:val="center"/>
      </w:pPr>
      <w:r>
        <w:rPr>
          <w:rFonts w:ascii="Times New Roman" w:hAnsi="Times New Roman" w:cs="Times New Roman" w:eastAsia="黑体"/>
          <w:b w:val="0"/>
          <w:sz w:val="30"/>
        </w:rPr>
        <w:t>区块链法律与监管前沿：沙盒机制、代币化实践与国际合规框架</w:t>
      </w:r>
    </w:p>
    <w:p>
      <w:pPr>
        <w:spacing w:before="0" w:after="0" w:line="240" w:lineRule="auto"/>
        <w:ind w:left="0" w:right="0" w:firstLine="0"/>
        <w:jc w:val="both"/>
      </w:pPr>
      <w:r>
        <w:rPr>
          <w:rFonts w:ascii="Times New Roman" w:hAnsi="Times New Roman" w:cs="Times New Roman" w:eastAsia="仿宋"/>
          <w:b w:val="0"/>
          <w:sz w:val="28"/>
        </w:rPr>
        <w:t>· 香港金管局推出Project Ensemble沙盒，测试代币化资产全生命周期交易，连接法国银行DL3S系统实现跨境原子结算。</w:t>
      </w:r>
    </w:p>
    <w:p>
      <w:pPr>
        <w:spacing w:before="0" w:after="0" w:line="240" w:lineRule="auto"/>
        <w:ind w:left="0" w:right="0" w:firstLine="0"/>
        <w:jc w:val="both"/>
      </w:pPr>
      <w:r>
        <w:rPr>
          <w:rFonts w:ascii="Times New Roman" w:hAnsi="Times New Roman" w:cs="Times New Roman" w:eastAsia="仿宋"/>
          <w:b w:val="0"/>
          <w:sz w:val="28"/>
        </w:rPr>
        <w:t>· 欧洲区块链沙盒为跨境监管对话提供框架，每年选20个用例，发布最佳实践报告，不涉及法律豁免。</w:t>
      </w:r>
    </w:p>
    <w:p>
      <w:pPr>
        <w:spacing w:before="0" w:after="0" w:line="240" w:lineRule="auto"/>
        <w:ind w:left="0" w:right="0" w:firstLine="0"/>
        <w:jc w:val="both"/>
      </w:pPr>
      <w:r>
        <w:rPr>
          <w:rFonts w:ascii="Times New Roman" w:hAnsi="Times New Roman" w:cs="Times New Roman" w:eastAsia="仿宋"/>
          <w:b w:val="0"/>
          <w:sz w:val="28"/>
        </w:rPr>
        <w:t>· 塞浦路斯通过国家区块链战略和CySEC监管沙盒推动DLT创新，但面临法律不确定性和监管挑战。</w:t>
      </w:r>
    </w:p>
    <w:p>
      <w:pPr>
        <w:sectPr>
          <w:pgSz w:w="12240" w:h="15840"/>
          <w:pgMar w:top="1440" w:right="1803" w:bottom="1440" w:left="1803" w:header="850" w:footer="992" w:gutter="0"/>
          <w:cols w:space="720"/>
          <w:docGrid w:type="lines" w:linePitch="312"/>
        </w:sectPr>
      </w:pPr>
    </w:p>
    <w:p>
      <w:pPr>
        <w:pStyle w:val="正文内容"/>
        <w:spacing w:before="0" w:after="0" w:line="240" w:lineRule="auto"/>
        <w:ind w:left="0" w:right="0" w:firstLine="560"/>
        <w:jc w:val="both"/>
      </w:pPr>
      <w:r>
        <w:rPr>
          <w:rFonts w:ascii="Times New Roman" w:hAnsi="Times New Roman" w:cs="Times New Roman" w:eastAsia="仿宋"/>
          <w:b w:val="0"/>
          <w:sz w:val="28"/>
        </w:rPr>
        <w:t>《国际区块链法律期刊》第十卷于2024年10月出版，收录了来自马来西亚、德国、荷兰、奥地利、塞浦路斯、英国、美国和中国香港等地的多篇高质量论文。主编Dr. Matthias Artzt在卷首语中强调，本卷延续了上一期对监管沙盒（Regulatory Sandbox）的关注，重点介绍了香港金融管理局（HKMA）的Project Ensemble沙盒、欧洲区块链沙盒以及塞浦路斯的区块链监管进展。此外，还涵盖了跨国市场准入、马来西亚初始交易所发行（Initial Exchange Offering，IEO）、OECD加密资产报告框架（Crypto-Asset Reporting Framework，CARF）以及加密破产拍卖等前沿议题。本卷还附有Clifford Chance与GBBC关于资产和基金代币化的线上研讨会链接。主编透露，他参与编辑的《国际人工智能法律手册》将于2024年11月出版。</w:t>
      </w:r>
    </w:p>
    <w:p>
      <w:pPr>
        <w:pStyle w:val="正文内容"/>
        <w:spacing w:before="0" w:after="0" w:line="240" w:lineRule="auto"/>
        <w:ind w:left="0" w:right="0" w:firstLine="560"/>
        <w:jc w:val="both"/>
      </w:pPr>
      <w:r>
        <w:rPr>
          <w:rFonts w:ascii="Times New Roman" w:hAnsi="Times New Roman" w:cs="Times New Roman" w:eastAsia="仿宋"/>
          <w:b w:val="0"/>
          <w:sz w:val="28"/>
        </w:rPr>
        <w:t>香港金管局于2024年8月28日启动了Project Ensemble沙盒（Sandbox），旨在探索资产代币化（Tokenisation）用例及代币化资产交易的结算。该沙盒是2024年3月发起的Project Ensemble的关键组成部分，旨在构建新型金融市场基础设施（Financial Market Infrastructure，FMI），利用批发型中央银行数字货币（wholesale Central Bank Digital Currency，wCBDC）实现代币化货币的无缝银行间结算。沙盒设计支持代币化资产交易的全生命周期，包括代币化资产的创建、交易、使用代币化商业银行存款进行支付结算，以及最终通过HKMA发行的wCBDC进行银行间结算。初期实验涵盖四大主题：固定收益与投资基金（债券和基金）、流动性管理（回购和财资管理）、绿色与可持续金融（碳信用和电动车充电站）、贸易与供应链金融（供应链融资和贸易支付），并包含跨境支付功能。</w:t>
      </w:r>
    </w:p>
    <w:p>
      <w:pPr>
        <w:pStyle w:val="正文内容"/>
        <w:spacing w:before="0" w:after="0" w:line="240" w:lineRule="auto"/>
        <w:ind w:left="0" w:right="0" w:firstLine="560"/>
        <w:jc w:val="both"/>
      </w:pPr>
      <w:r>
        <w:rPr>
          <w:rFonts w:ascii="Times New Roman" w:hAnsi="Times New Roman" w:cs="Times New Roman" w:eastAsia="仿宋"/>
          <w:b w:val="0"/>
          <w:sz w:val="28"/>
        </w:rPr>
        <w:t>2024年6月，法国央行（BdF）与HKMA签署谅解备忘录，推动wCBDC和代币化市场创新。沙盒启动时，HKMA总裁Eddie Yue宣布，沙盒已成功连接法国央行的证券结算分布式账本系统（Distributed Ledger for Securities Settlement System，DL3S），试点展示了通过链接系统实现跨境原子结算（Atomic Cross-border Settlement）的能力。香港证券及期货事务监察委员会（Securities and Futures Commission，SFC）宣布将共同领导固定收益和投资基金类别下的资产管理行业代币化计划，与HKMA合作提供监管指引，解决行业担忧。沙盒的推出基于2024年5月成立的Project Ensemble架构社区（Architecture Community），该社区涵盖银行、科技公司、监管机构和学者，旨在制定行业标准以支持wCBDC、代币化货币和代币化资产之间的互操作性。社区银行已将其代币化存款平台接入沙盒，允许参与者实验银行间同步交收（Payment-versus-Payment，PvP）和券款对付（Delivery-versus-Payment，DvP）。</w:t>
      </w:r>
    </w:p>
    <w:p>
      <w:pPr>
        <w:pStyle w:val="正文内容"/>
        <w:spacing w:before="0" w:after="0" w:line="240" w:lineRule="auto"/>
        <w:ind w:left="0" w:right="0" w:firstLine="560"/>
        <w:jc w:val="both"/>
      </w:pPr>
      <w:r>
        <w:rPr>
          <w:rFonts w:ascii="Times New Roman" w:hAnsi="Times New Roman" w:cs="Times New Roman" w:eastAsia="仿宋"/>
          <w:b w:val="0"/>
          <w:sz w:val="28"/>
        </w:rPr>
        <w:t>展望未来，沙盒设计将支持多种形式的数字货币和数字资产，超出初期实验范围。行业参与者可通过沙盒实验新的代币化创意并推向市场。HKMA正积极将沙盒发展为生产就绪的FMI，以支持香港未来的真实货币代币化交易。HKMA与SFC在Project Ensemble上的合作，表明监管机构致力于推动代币化并开发代币化资产结算的共同标准。这一举措将香港置于全球代币化创新的前沿，有望吸引更多金融科技企业落户。</w:t>
      </w:r>
    </w:p>
    <w:p>
      <w:pPr>
        <w:pStyle w:val="正文内容"/>
        <w:spacing w:before="0" w:after="0" w:line="240" w:lineRule="auto"/>
        <w:ind w:left="0" w:right="0" w:firstLine="560"/>
        <w:jc w:val="both"/>
      </w:pPr>
      <w:r>
        <w:rPr>
          <w:rFonts w:ascii="Times New Roman" w:hAnsi="Times New Roman" w:cs="Times New Roman" w:eastAsia="仿宋"/>
          <w:b w:val="0"/>
          <w:sz w:val="28"/>
        </w:rPr>
        <w:t>欧洲区块链监管沙盒（European Blockchain Sandbox）是欧盟委员会（European Commission，EC）的倡议，旨在为区块链/分布式账本技术（Distributed Ledger Technology，DLT）创新者与国家和欧盟层面的监管机构建立泛欧洲跨境监管对话框架。其目标是通过识别最佳实践来增强法律确定性，促进创新应用发展。与传统的测试环境不同，该沙盒不涉及法律豁免或监管批准，而是提供保密、非正式的对话机制。参与用例基于透明和非歧视性标准选出，对话比包含监管测试的沙盒更省时。对话中识别的经验教训和需澄清的领域通过最佳实践报告和公开网络研讨会分享给更广泛的社区。沙盒面向公共和私营部门的广泛区块链/DLT用例，包括与人工智能（Artificial Intelligence，AI）和物联网（Internet of Things，IoT）结合的项目，重点关注跨部门和跨区域议题，如金融部门监管、数据保护、环境社会治理（Environmental， Social and Governance，ESG）法规、电子身份认证与信托服务（eIDAS）、网络安全、消费者保护、智能合约责任及反洗钱/了解你的客户（AML/KYC）规则。</w:t>
      </w:r>
    </w:p>
    <w:p>
      <w:pPr>
        <w:pStyle w:val="正文内容"/>
        <w:spacing w:before="0" w:after="0" w:line="240" w:lineRule="auto"/>
        <w:ind w:left="0" w:right="0" w:firstLine="560"/>
        <w:jc w:val="both"/>
      </w:pPr>
      <w:r>
        <w:rPr>
          <w:rFonts w:ascii="Times New Roman" w:hAnsi="Times New Roman" w:cs="Times New Roman" w:eastAsia="仿宋"/>
          <w:b w:val="0"/>
          <w:sz w:val="28"/>
        </w:rPr>
        <w:t>传统的金融监管部门“监管沙盒”为金融科技公司提供受控测试环境，以验证商业模式，降低市场进入壁垒。然而，欧洲区块链沙盒并非此类沙盒。它自2023年起每年选取20个创新DLT/区块链用例，涵盖不同行业和欧洲经济区（European Economic Area，EEA）地区。第一轮用例已成功与超过50个国家和欧盟监管机构对接，覆盖广泛监管领域。2024年6月发布了第一轮最佳实践报告，未泄露保密信息。对话方式包括：专注于监管合规（如GDPR、网络安全、反洗钱和金融监管），及探讨DLT如何支持高效合规与监督（如海关、电池护照、文化资产护照和二氧化碳报告）。此外，一些对话聚焦于促进创新的欧盟法规，如EUDI钱包、eIDAS、数据治理法案下的数据利他组织及加密资产市场监管法案（Markets in Crypto-Assets Regulation，MiCAR）。沙盒由Bird &amp; Bird律所领导的联盟组织，包括咨询公司OXYGY和区块链专家Warren Brandeis，网站由Spindox开发。独立学术专家小组监督选择过程，并负责年度最创新监管机构奖。</w:t>
      </w:r>
    </w:p>
    <w:p>
      <w:pPr>
        <w:pStyle w:val="正文内容"/>
        <w:spacing w:before="0" w:after="0" w:line="240" w:lineRule="auto"/>
        <w:ind w:left="0" w:right="0" w:firstLine="560"/>
        <w:jc w:val="both"/>
      </w:pPr>
      <w:r>
        <w:rPr>
          <w:rFonts w:ascii="Times New Roman" w:hAnsi="Times New Roman" w:cs="Times New Roman" w:eastAsia="仿宋"/>
          <w:b w:val="0"/>
          <w:sz w:val="28"/>
        </w:rPr>
        <w:t>欧洲区块链沙盒为参与者和监管机构带来诸多益处。对创新者而言，可获得专业法律监管建议，构建与监管机构的建设性对话，无需支付申请或参与费用。对监管机构而言，能在跨境环境中讨论具体用例引发的监管问题，分享经验，增强对前沿技术的理解，并有机会获得“最创新监管机构”认可，同时为最佳实践报告做出贡献。第一轮反馈非常积极——创新者赞赏监管指导及与监管机构的开放对话，监管机构则重视了解DLT用例和跨境交流。几乎所有监管机构均表示愿意参与后续对话。后续轮次将进一步深入探讨各类监管议题，考虑技术组合（如区块链与AI）及新法律发展。</w:t>
      </w:r>
    </w:p>
    <w:p>
      <w:pPr>
        <w:pStyle w:val="正文内容"/>
        <w:spacing w:before="0" w:after="0" w:line="240" w:lineRule="auto"/>
        <w:ind w:left="0" w:right="0" w:firstLine="560"/>
        <w:jc w:val="both"/>
      </w:pPr>
      <w:r>
        <w:rPr>
          <w:rFonts w:ascii="Times New Roman" w:hAnsi="Times New Roman" w:cs="Times New Roman" w:eastAsia="仿宋"/>
          <w:b w:val="0"/>
          <w:sz w:val="28"/>
        </w:rPr>
        <w:t>总之，欧洲区块链沙盒的建立是欧盟/EEA在促进区块链创新、提升法律确定性方面的重要举措。它使欧洲成为创新企业的有吸引力的目的地，并通过合作与对话实现更有效和高效的法律法规应用。监管不妨碍创新，而是保护市场与消费者，欧洲区块链沙盒为此做出了关键贡献。</w:t>
      </w:r>
    </w:p>
    <w:p>
      <w:pPr>
        <w:pStyle w:val="正文内容"/>
        <w:spacing w:before="0" w:after="0" w:line="240" w:lineRule="auto"/>
        <w:ind w:left="0" w:right="0" w:firstLine="560"/>
        <w:jc w:val="both"/>
      </w:pPr>
      <w:r>
        <w:rPr>
          <w:rFonts w:ascii="Times New Roman" w:hAnsi="Times New Roman" w:cs="Times New Roman" w:eastAsia="仿宋"/>
          <w:b w:val="0"/>
          <w:sz w:val="28"/>
        </w:rPr>
        <w:t>塞浦路斯凭借其战略地理位置和欧盟成员身份，正积极定位为区块链创新的热点。2020年，欧洲区块链观察论坛将塞浦路斯列为欧洲区块链技术三大热点之一。该国自2019年通过《国家区块链战略》，为后续发展奠定基础，近期最显著的进展是塞浦路斯证券交易委员会（Cyprus Securities and Exchange Commission，CySEC）推出的监管沙盒。本文概述了塞浦路斯的DLT和区块链监管历程、当前法律挑战及未来路径。</w:t>
      </w:r>
    </w:p>
    <w:p>
      <w:pPr>
        <w:pStyle w:val="正文内容"/>
        <w:spacing w:before="0" w:after="0" w:line="240" w:lineRule="auto"/>
        <w:ind w:left="0" w:right="0" w:firstLine="560"/>
        <w:jc w:val="both"/>
      </w:pPr>
      <w:r>
        <w:rPr>
          <w:rFonts w:ascii="Times New Roman" w:hAnsi="Times New Roman" w:cs="Times New Roman" w:eastAsia="仿宋"/>
          <w:b w:val="0"/>
          <w:sz w:val="28"/>
        </w:rPr>
        <w:t>2018年6月，塞浦路斯签署《欧洲区块链伙伴关系》（European Blockchain Partnership，EBP），同年12月与马耳他、法国等六国联合发表《南地中海国家分布式账本技术宣言》，旨在加强数字合作，将南欧定位为DLT等尖端技术的领导者。2019年国家区块链战略确立了在公共和私营部门利用区块链推动创新、经济增长和透明度的框架。作为战略的一部分，CySEC启动了创新中心（Innovation Hub），支持引入基于区块链的创新金融产品和服务的企业。该创新中心至今活跃，并于2024年6月推出了CySEC监管沙盒。在2020-2021年新冠疫情期间，塞浦路斯政府启动多个项目，邀请技术和区块链社区开发基于DLT的解决方案，涵盖医疗、企业和公共治理领域，部分初级解决方案已在各自行业落地。</w:t>
      </w:r>
    </w:p>
    <w:p>
      <w:pPr>
        <w:pStyle w:val="正文内容"/>
        <w:spacing w:before="0" w:after="0" w:line="240" w:lineRule="auto"/>
        <w:ind w:left="0" w:right="0" w:firstLine="560"/>
        <w:jc w:val="both"/>
      </w:pPr>
      <w:r>
        <w:rPr>
          <w:rFonts w:ascii="Times New Roman" w:hAnsi="Times New Roman" w:cs="Times New Roman" w:eastAsia="仿宋"/>
          <w:b w:val="0"/>
          <w:sz w:val="28"/>
        </w:rPr>
        <w:t>2021年9月，财政部就拟议的DLT法律草案（DLT Law）公开征求意见，该草案旨在以技术中立方式引入规则，平衡促进新技术使用与防止洗钱、保护消费者权利的需求。该立法框架虽仍在制定中，但标志着塞浦路斯成为全球DLT和区块链创新关键参与者的初步举措。2024年6月，CySEC正式启动监管沙盒，允许区块链和DLT创新者在受控环境中测试产品和服务。沙盒最初运行一年，可续期至最多两年，参与者需满足特定准入标准。CySEC在沙盒中提供监管指导，但不豁免法律义务。此举措与欧盟《加密资产市场监管法案》及其他监管发展相结合，有望进一步促进金融科技和区块链领域的创新。</w:t>
      </w:r>
    </w:p>
    <w:p>
      <w:pPr>
        <w:pStyle w:val="正文内容"/>
        <w:spacing w:before="0" w:after="0" w:line="240" w:lineRule="auto"/>
        <w:ind w:left="0" w:right="0" w:firstLine="560"/>
        <w:jc w:val="both"/>
      </w:pPr>
      <w:r>
        <w:rPr>
          <w:rFonts w:ascii="Times New Roman" w:hAnsi="Times New Roman" w:cs="Times New Roman" w:eastAsia="仿宋"/>
          <w:b w:val="0"/>
          <w:sz w:val="28"/>
        </w:rPr>
        <w:t>塞浦路斯在DLT监管方面既有机遇也面临挑战。法律框架方面，DLT法律草案的立法进程缓慢，造成法律不确定性。税务处理不明朗，尤其是加密资产交易的税收分类。反洗钱要求方面，塞浦路斯已修订《预防和制止洗钱法》，将虚拟资产服务提供商（Virtual Asset Service Providers，VASPs）纳入监管，要求其注册并遵守AML/CFT义务，但执行细节仍需明确。消费者保护方面，缺乏专门针对区块链和加密资产的消费者保护规则。尽管存在挑战，塞浦路斯凭借其强大的法律和专业服务生态系统、欧盟单一市场准入权以及创新友好的监管态度，仍有潜力成为区块链和DLT创新的领先司法管辖区。</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（信息来源：TRM Labs Resources）</w:t>
      </w:r>
    </w:p>
    <w:p>
      <w:pPr>
        <w:pStyle w:val="原文信息"/>
        <w:spacing w:before="0" w:after="0" w:line="240" w:lineRule="auto"/>
        <w:ind w:left="0" w:right="0" w:firstLine="0"/>
        <w:jc w:val="left"/>
      </w:pPr>
      <w:r>
        <w:rPr>
          <w:rFonts w:ascii="Times New Roman" w:hAnsi="Times New Roman" w:cs="Times New Roman" w:eastAsia="仿宋"/>
          <w:b w:val="0"/>
          <w:sz w:val="18"/>
        </w:rPr>
        <w:t>原文标题：TRM Labs Resources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原文链接：https://assets.ctfassets.net/so75yocayyva/3lwsDOoaPC9qARIuwobLRj/984ebb9d3ecfe58e7957675748ba199d/23.10.24_IJBL_V10_2024_final.pdf</w:t>
      </w:r>
    </w:p>
    <w:p>
      <w:pPr>
        <w:pStyle w:val="原文信息"/>
        <w:spacing w:before="0" w:after="0" w:line="240" w:lineRule="auto"/>
        <w:ind w:left="0" w:right="0" w:firstLine="0"/>
        <w:jc w:val="left"/>
      </w:pPr>
      <w:r>
        <w:rPr>
          <w:rFonts w:ascii="Times New Roman" w:hAnsi="Times New Roman" w:cs="Times New Roman" w:eastAsia="仿宋"/>
          <w:b w:val="0"/>
          <w:sz w:val="18"/>
        </w:rPr>
        <w:t>PDF文件：reports/2026/research_sources/20260604/TRM_Labs_Resources_TRM_Labs_Resources_474476ca.pdf</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专题研究_20260604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