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美国财长贝森特在参议院力挺《CLARITY法案》</w:t>
      </w:r>
    </w:p>
    <w:p>
      <w:pPr>
        <w:pStyle w:val="ListParagraph"/>
        <w:spacing w:before="0" w:after="0" w:line="360" w:lineRule="auto"/>
        <w:ind w:left="0" w:firstLine="0"/>
      </w:pPr>
      <w:r>
        <w:rPr>
          <w:rFonts w:ascii="Times New Roman" w:hAnsi="Times New Roman" w:cs="Times New Roman" w:eastAsia="楷体"/>
          <w:b w:val="0"/>
          <w:sz w:val="28"/>
        </w:rPr>
        <w:t>· 香港加密货币法律框架牌照、税务与合规要求概览</w:t>
      </w:r>
    </w:p>
    <w:p>
      <w:pPr>
        <w:pStyle w:val="ListParagraph"/>
        <w:spacing w:before="0" w:after="0" w:line="360" w:lineRule="auto"/>
        <w:ind w:left="0" w:firstLine="0"/>
      </w:pPr>
      <w:r>
        <w:rPr>
          <w:rFonts w:ascii="Times New Roman" w:hAnsi="Times New Roman" w:cs="Times New Roman" w:eastAsia="楷体"/>
          <w:b w:val="0"/>
          <w:sz w:val="28"/>
        </w:rPr>
        <w:t>· 英国FCA发布稳定币发行与加密资产托管制度</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以太坊“Glamsterdam”升级目标Q3上线有望突破10万TPS</w:t>
      </w:r>
    </w:p>
    <w:p>
      <w:pPr>
        <w:pStyle w:val="ListParagraph"/>
        <w:spacing w:before="0" w:after="0" w:line="360" w:lineRule="auto"/>
        <w:ind w:left="0" w:firstLine="0"/>
      </w:pPr>
      <w:r>
        <w:rPr>
          <w:rFonts w:ascii="Times New Roman" w:hAnsi="Times New Roman" w:cs="Times New Roman" w:eastAsia="楷体"/>
          <w:b w:val="0"/>
          <w:sz w:val="28"/>
        </w:rPr>
        <w:t>· 代币化黄金平台PleasingMarket将9000万美元TVL从LayerZero迁移至Chainlink</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比特币短暂跌破62000美元15亿美元加密多头仓位被清算</w:t>
      </w:r>
    </w:p>
    <w:p>
      <w:pPr>
        <w:pStyle w:val="ListParagraph"/>
        <w:spacing w:before="0" w:after="0" w:line="360" w:lineRule="auto"/>
        <w:ind w:left="0" w:firstLine="0"/>
      </w:pPr>
      <w:r>
        <w:rPr>
          <w:rFonts w:ascii="Times New Roman" w:hAnsi="Times New Roman" w:cs="Times New Roman" w:eastAsia="楷体"/>
          <w:b w:val="0"/>
          <w:sz w:val="28"/>
        </w:rPr>
        <w:t>· 比特币自2月以来首次跌破63000美元跌势延续</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CryptoQuant首席执行官称比特币投资者正向长期持有者转变</w:t>
      </w:r>
    </w:p>
    <w:p>
      <w:pPr>
        <w:pStyle w:val="ListParagraph"/>
        <w:spacing w:before="0" w:after="0" w:line="360" w:lineRule="auto"/>
        <w:ind w:left="0" w:firstLine="0"/>
      </w:pPr>
      <w:r>
        <w:rPr>
          <w:rFonts w:ascii="Times New Roman" w:hAnsi="Times New Roman" w:cs="Times New Roman" w:eastAsia="楷体"/>
          <w:b w:val="0"/>
          <w:sz w:val="28"/>
        </w:rPr>
        <w:t>· Pompliano呼吁无视每四年宣告比特币死亡的“尖叫熊”他们总是错的</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美国财长贝森特在参议院力挺《CLARITY法案》</w:t>
      </w:r>
    </w:p>
    <w:p>
      <w:pPr>
        <w:spacing w:before="0" w:after="0" w:line="240" w:lineRule="auto"/>
        <w:ind w:left="0" w:right="0" w:firstLine="0"/>
        <w:jc w:val="both"/>
      </w:pPr>
      <w:r>
        <w:rPr>
          <w:rFonts w:ascii="Times New Roman" w:hAnsi="Times New Roman" w:cs="Times New Roman" w:eastAsia="仿宋"/>
          <w:b w:val="0"/>
          <w:sz w:val="28"/>
        </w:rPr>
        <w:t>· 美国财长Scott Bessent在参议院听证会上公开支持《CLARITY法案》，推动加密市场结构立法。</w:t>
      </w:r>
    </w:p>
    <w:p>
      <w:pPr>
        <w:spacing w:before="0" w:after="0" w:line="240" w:lineRule="auto"/>
        <w:ind w:left="0" w:right="0" w:firstLine="0"/>
        <w:jc w:val="both"/>
      </w:pPr>
      <w:r>
        <w:rPr>
          <w:rFonts w:ascii="Times New Roman" w:hAnsi="Times New Roman" w:cs="Times New Roman" w:eastAsia="仿宋"/>
          <w:b w:val="0"/>
          <w:sz w:val="28"/>
        </w:rPr>
        <w:t>· 该法案旨在明确数字资产的监管分类，为加密行业提供更清晰的合规路径。</w:t>
      </w:r>
    </w:p>
    <w:p>
      <w:pPr>
        <w:spacing w:before="0" w:after="0" w:line="240" w:lineRule="auto"/>
        <w:ind w:left="0" w:right="0" w:firstLine="0"/>
        <w:jc w:val="both"/>
      </w:pPr>
      <w:r>
        <w:rPr>
          <w:rFonts w:ascii="Times New Roman" w:hAnsi="Times New Roman" w:cs="Times New Roman" w:eastAsia="仿宋"/>
          <w:b w:val="0"/>
          <w:sz w:val="28"/>
        </w:rPr>
        <w:t>· 贝森特的表态显示联邦层面对加密监管框架的重视，可能加速法案审议进程。</w:t>
      </w:r>
    </w:p>
    <w:p>
      <w:pPr>
        <w:pStyle w:val="正文内容"/>
        <w:spacing w:before="0" w:after="0" w:line="240" w:lineRule="auto"/>
        <w:ind w:left="0" w:right="0" w:firstLine="560"/>
        <w:jc w:val="both"/>
      </w:pPr>
      <w:r>
        <w:rPr>
          <w:rFonts w:ascii="Times New Roman" w:hAnsi="Times New Roman" w:cs="Times New Roman" w:eastAsia="仿宋"/>
          <w:b w:val="0"/>
          <w:sz w:val="28"/>
        </w:rPr>
        <w:t>美国财政部长Scott Bessent在2026年6月4日参议院听证会上公开支持《CLARITY法案》，该法案旨在为数字资产提供明确的监管分类。这一表态被市场视为美国联邦层面推动加密市场结构立法的最新举措，或将对后续政策走向产生重要影响。</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2026年6月4日，美国财政部长Scott Bessent在参议院银行委员会听证会上明确表态支持《CLARITY法案》（Cryptocurrency Legal Authority and Regulatory Integrity Transparency Act）。Bessent表示，该法案为数字资产提供了急需的监管确定性，有助于在保护投资者的同时促进创新。他特别强调，清晰的法律框架将吸引更多机构资本进入加密市场，并巩固美国在全球金融科技领域的领先地位。</w:t>
      </w:r>
    </w:p>
    <w:p>
      <w:pPr>
        <w:pStyle w:val="正文内容"/>
        <w:spacing w:before="0" w:after="0" w:line="240" w:lineRule="auto"/>
        <w:ind w:left="0" w:right="0" w:firstLine="560"/>
        <w:jc w:val="both"/>
      </w:pPr>
      <w:r>
        <w:rPr>
          <w:rFonts w:ascii="Times New Roman" w:hAnsi="Times New Roman" w:cs="Times New Roman" w:eastAsia="仿宋"/>
          <w:b w:val="0"/>
          <w:sz w:val="28"/>
        </w:rPr>
        <w:t>《CLARITY法案》由参议院银行委员会部分成员提出，核心目标是将数字资产按功能分类为证券、大宗商品或货币，并指定相应的监管机构。目前，加密市场面临多头监管的困境——美国证券交易委员会（SEC）和商品期货交易委员会（CFTC）在管辖权上存在重叠，导致企业合规成本高昂。该法案试图通过立法解决这一结构性矛盾，避免执法驱动的监管模式。</w:t>
      </w:r>
    </w:p>
    <w:p>
      <w:pPr>
        <w:pStyle w:val="正文内容"/>
        <w:spacing w:before="0" w:after="0" w:line="240" w:lineRule="auto"/>
        <w:ind w:left="0" w:right="0" w:firstLine="560"/>
        <w:jc w:val="both"/>
      </w:pPr>
      <w:r>
        <w:rPr>
          <w:rFonts w:ascii="Times New Roman" w:hAnsi="Times New Roman" w:cs="Times New Roman" w:eastAsia="仿宋"/>
          <w:b w:val="0"/>
          <w:sz w:val="28"/>
        </w:rPr>
        <w:t>Bessent在听证会上指出，当前监管不明确已阻碍美国加密行业的发展，许多企业因法律风险而迁往海外。他援引财政部内部研究称，一个统一的联邦监管框架每年可为经济释放数十亿美元的增长潜力。不过，他并未对法案中的具体条款——如稳定币发行商的准备金要求——展开详细讨论，仅表示财政部将配合立法机构提供技术性建议。</w:t>
      </w:r>
    </w:p>
    <w:p>
      <w:pPr>
        <w:pStyle w:val="正文内容"/>
        <w:spacing w:before="0" w:after="0" w:line="240" w:lineRule="auto"/>
        <w:ind w:left="0" w:right="0" w:firstLine="560"/>
        <w:jc w:val="both"/>
      </w:pPr>
      <w:r>
        <w:rPr>
          <w:rFonts w:ascii="Times New Roman" w:hAnsi="Times New Roman" w:cs="Times New Roman" w:eastAsia="仿宋"/>
          <w:b w:val="0"/>
          <w:sz w:val="28"/>
        </w:rPr>
        <w:t>市场对Bessent的表态反应积极。听证会结束后，比特币（Bitcoin，BTC）价格在当日下午短暂上涨约2%，以太坊（Ethereum，ETH）同步走强。部分分析师认为，财长的公开支持增加了法案在2026年底前通过的可能性，但两党在消费者保护条款上仍存在分歧。共和党议员倾向于更宽松的州级监管试验，而民主党则强调联邦层面的统一标准。</w:t>
      </w:r>
    </w:p>
    <w:p>
      <w:pPr>
        <w:pStyle w:val="正文内容"/>
        <w:spacing w:before="0" w:after="0" w:line="240" w:lineRule="auto"/>
        <w:ind w:left="0" w:right="0" w:firstLine="560"/>
        <w:jc w:val="both"/>
      </w:pPr>
      <w:r>
        <w:rPr>
          <w:rFonts w:ascii="Times New Roman" w:hAnsi="Times New Roman" w:cs="Times New Roman" w:eastAsia="仿宋"/>
          <w:b w:val="0"/>
          <w:sz w:val="28"/>
        </w:rPr>
        <w:t>《CLARITY法案》的立法进程可追溯至2024年，当时因选举周期而停滞。此次Bessent的背书被看作行政分支与立法分支在加密议题上的一次关键协同。值得注意的是，Bessent本人此前在私人部门从事金融工作，对区块链技术持开放态度。他在听证会上同时呼吁加强反洗钱（Anti-Money Laundering，AML）合规要求，要求数字资产平台执行与传统金融机构同等的客户尽职调查。</w:t>
      </w:r>
    </w:p>
    <w:p>
      <w:pPr>
        <w:pStyle w:val="正文内容"/>
        <w:spacing w:before="0" w:after="0" w:line="240" w:lineRule="auto"/>
        <w:ind w:left="0" w:right="0" w:firstLine="560"/>
        <w:jc w:val="both"/>
      </w:pPr>
      <w:r>
        <w:rPr>
          <w:rFonts w:ascii="Times New Roman" w:hAnsi="Times New Roman" w:cs="Times New Roman" w:eastAsia="仿宋"/>
          <w:b w:val="0"/>
          <w:sz w:val="28"/>
        </w:rPr>
        <w:t>业内观察人士指出，即使法案最终通过，其实际效果仍取决于规则制定和执行力度。CoinCenter等加密政策倡导组织表示，监管清晰化固然重要，但不应过度限制去中心化协议。Bessent回应称，立法需平衡创新与风险，财政部正在与白宫数字资产工作组协商后续细则。下一轮听证会定于2026年7月举行，届时将讨论修正案条款。</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（信息来源：Coinfomania）</w:t>
      </w:r>
    </w:p>
    <w:p>
      <w:pPr>
        <w:pStyle w:val="原文信息"/>
        <w:spacing w:before="0" w:after="0" w:line="240" w:lineRule="auto"/>
        <w:ind w:left="0" w:right="0" w:firstLine="0"/>
        <w:jc w:val="left"/>
      </w:pPr>
      <w:r>
        <w:rPr>
          <w:rFonts w:ascii="Times New Roman" w:hAnsi="Times New Roman" w:cs="Times New Roman" w:eastAsia="仿宋"/>
          <w:b w:val="0"/>
          <w:sz w:val="18"/>
        </w:rPr>
        <w:t>原文标题：CLARITY Act Wins Treasury Secretary Bessent’s Backing in Senate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香港加密货币法律框架牌照、税务与合规要求概览</w:t>
      </w:r>
    </w:p>
    <w:p>
      <w:pPr>
        <w:spacing w:before="0" w:after="0" w:line="240" w:lineRule="auto"/>
        <w:ind w:left="0" w:right="0" w:firstLine="0"/>
        <w:jc w:val="both"/>
      </w:pPr>
      <w:r>
        <w:rPr>
          <w:rFonts w:ascii="Times New Roman" w:hAnsi="Times New Roman" w:cs="Times New Roman" w:eastAsia="仿宋"/>
          <w:b w:val="0"/>
          <w:sz w:val="28"/>
        </w:rPr>
        <w:t>· 香港证监会于2023年6月实施虚拟资产交易平台强制发牌制度，所有在港运营的中央交易平台必须获牌。</w:t>
      </w:r>
    </w:p>
    <w:p>
      <w:pPr>
        <w:spacing w:before="0" w:after="0" w:line="240" w:lineRule="auto"/>
        <w:ind w:left="0" w:right="0" w:firstLine="0"/>
        <w:jc w:val="both"/>
      </w:pPr>
      <w:r>
        <w:rPr>
          <w:rFonts w:ascii="Times New Roman" w:hAnsi="Times New Roman" w:cs="Times New Roman" w:eastAsia="仿宋"/>
          <w:b w:val="0"/>
          <w:sz w:val="28"/>
        </w:rPr>
        <w:t>· 香港税务局将加密货币视为资产而非货币，交易利润及矿业收入均需课税，但资本利得则免税。</w:t>
      </w:r>
    </w:p>
    <w:p>
      <w:pPr>
        <w:spacing w:before="0" w:after="0" w:line="240" w:lineRule="auto"/>
        <w:ind w:left="0" w:right="0" w:firstLine="0"/>
        <w:jc w:val="both"/>
      </w:pPr>
      <w:r>
        <w:rPr>
          <w:rFonts w:ascii="Times New Roman" w:hAnsi="Times New Roman" w:cs="Times New Roman" w:eastAsia="仿宋"/>
          <w:b w:val="0"/>
          <w:sz w:val="28"/>
        </w:rPr>
        <w:t>· 合规要求包括客户资产托管、反洗钱/反恐融资措施及网络安全标准，违者面临刑事与行政处罚。</w:t>
      </w:r>
    </w:p>
    <w:p>
      <w:pPr>
        <w:pStyle w:val="正文内容"/>
        <w:spacing w:before="0" w:after="0" w:line="240" w:lineRule="auto"/>
        <w:ind w:left="0" w:right="0" w:firstLine="560"/>
        <w:jc w:val="both"/>
      </w:pPr>
      <w:r>
        <w:rPr>
          <w:rFonts w:ascii="Times New Roman" w:hAnsi="Times New Roman" w:cs="Times New Roman" w:eastAsia="仿宋"/>
          <w:b w:val="0"/>
          <w:sz w:val="28"/>
        </w:rPr>
        <w:t>香港作为全球加密货币中心之一，已构建起涵盖牌照、税务与合规的全方位法律框架，为运营者提供明确监管路径，同时强化投资者保护。</w:t>
      </w:r>
    </w:p>
    <w:p>
      <w:pPr>
        <w:pStyle w:val="正文内容"/>
        <w:spacing w:before="0" w:after="0" w:line="240" w:lineRule="auto"/>
        <w:ind w:left="0" w:right="0" w:firstLine="560"/>
        <w:jc w:val="both"/>
      </w:pPr>
      <w:r>
        <w:rPr>
          <w:rFonts w:ascii="Times New Roman" w:hAnsi="Times New Roman" w:cs="Times New Roman" w:eastAsia="仿宋"/>
          <w:b w:val="0"/>
          <w:sz w:val="28"/>
        </w:rPr>
        <w:t>香港证券及期货事务监察委员会（Securities and Futures Commission，SFC）于2023年6月1日正式实施虚拟资产交易平台发牌制度，要求所有在香港运营或向香港投资者推广的中央交易平台申领牌照。截至2026年6月，已有14家平台获发牌照，另有8家正在申请中。该制度源于2022年《打击洗钱及恐怖分子资金筹集条例》的修订，将虚拟资产服务纳入监管范围，标志着香港从自愿自律迈向强制性合规。</w:t>
      </w:r>
    </w:p>
    <w:p>
      <w:pPr>
        <w:pStyle w:val="正文内容"/>
        <w:spacing w:before="0" w:after="0" w:line="240" w:lineRule="auto"/>
        <w:ind w:left="0" w:right="0" w:firstLine="560"/>
        <w:jc w:val="both"/>
      </w:pPr>
      <w:r>
        <w:rPr>
          <w:rFonts w:ascii="Times New Roman" w:hAnsi="Times New Roman" w:cs="Times New Roman" w:eastAsia="仿宋"/>
          <w:b w:val="0"/>
          <w:sz w:val="28"/>
        </w:rPr>
        <w:t>在税务方面，香港税务局（Inland Revenue Department，IRD）将加密货币归类为资产而非法定货币。根据现行规定，个人或企业从交易中获得的利润需按利得税征税（16.5%税率），而矿业所得亦视为营业入息。值得注意的是，资本利得（即长期持有后处置的收益）目前无须课税，但若交易频繁或构成职业活动，则可能被判定为生意行为而征税。IRD于2024年发布《税务指引》明确上述立场，并强调必须保存交易记录以备查核。</w:t>
      </w:r>
    </w:p>
    <w:p>
      <w:pPr>
        <w:pStyle w:val="正文内容"/>
        <w:spacing w:before="0" w:after="0" w:line="240" w:lineRule="auto"/>
        <w:ind w:left="0" w:right="0" w:firstLine="560"/>
        <w:jc w:val="both"/>
      </w:pPr>
      <w:r>
        <w:rPr>
          <w:rFonts w:ascii="Times New Roman" w:hAnsi="Times New Roman" w:cs="Times New Roman" w:eastAsia="仿宋"/>
          <w:b w:val="0"/>
          <w:sz w:val="28"/>
        </w:rPr>
        <w:t>合规要求构成监管核心。发牌条件包括：客户资产必须与公司资产严格分离，并存于独立信托账户；必须实施客户身份验证（KYC）及交易监控以符合反洗钱（AML）规则；平台需具备稳健的网络安全措施，包括冷钱包存储比例不低于95%。此外，SFC要求平台披露代币上市标准及风险提示，并禁止向零售投资者提供杠杆交易或衍生品。违规者最高可被罚款500万港元及监禁7年。</w:t>
      </w:r>
    </w:p>
    <w:p>
      <w:pPr>
        <w:pStyle w:val="正文内容"/>
        <w:spacing w:before="0" w:after="0" w:line="240" w:lineRule="auto"/>
        <w:ind w:left="0" w:right="0" w:firstLine="560"/>
        <w:jc w:val="both"/>
      </w:pPr>
      <w:r>
        <w:rPr>
          <w:rFonts w:ascii="Times New Roman" w:hAnsi="Times New Roman" w:cs="Times New Roman" w:eastAsia="仿宋"/>
          <w:b w:val="0"/>
          <w:sz w:val="28"/>
        </w:rPr>
        <w:t>监管影响已显现在市场结构上。自牌照制度实施以来，多家国际交易所申请牌照，如Binance已于2025年通过合规审查获得牌照。同时，部分平台因无法满足资本充足率要求而退出香港市场。投资者保护方面，2024年JPEX事件后，SFC加强执法，对无牌平台发出停止通告。香港正逐步确立起与新加坡、阿联酋竞争的监管声誉，成为亚洲合规加密枢纽。</w:t>
      </w:r>
    </w:p>
    <w:p>
      <w:pPr>
        <w:pStyle w:val="正文内容"/>
        <w:spacing w:before="0" w:after="0" w:line="240" w:lineRule="auto"/>
        <w:ind w:left="0" w:right="0" w:firstLine="560"/>
        <w:jc w:val="both"/>
      </w:pPr>
      <w:r>
        <w:rPr>
          <w:rFonts w:ascii="Times New Roman" w:hAnsi="Times New Roman" w:cs="Times New Roman" w:eastAsia="仿宋"/>
          <w:b w:val="0"/>
          <w:sz w:val="28"/>
        </w:rPr>
        <w:t>未来观察：SFC计划于2027年推出稳定币监管沙盒，并研究将去中心化金融（DeFi）纳入框架。香港金管局（HKMA）亦在推进法定数字货币（e-HKD）试点。行业解读认为，香港的“同一业务、同一风险、同一监管”原则将扩展至区块链应用。运营者需持续关注SFC更新的指引，尤其是在跨域交易和国际合作方面，以确保合规。</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（信息来源：CryptoSlate）</w:t>
      </w:r>
    </w:p>
    <w:p>
      <w:pPr>
        <w:pStyle w:val="原文信息"/>
        <w:spacing w:before="0" w:after="0" w:line="240" w:lineRule="auto"/>
        <w:ind w:left="0" w:right="0" w:firstLine="0"/>
        <w:jc w:val="left"/>
      </w:pPr>
      <w:r>
        <w:rPr>
          <w:rFonts w:ascii="Times New Roman" w:hAnsi="Times New Roman" w:cs="Times New Roman" w:eastAsia="仿宋"/>
          <w:b w:val="0"/>
          <w:sz w:val="18"/>
        </w:rPr>
        <w:t>原文标题：Hong Kong Crypto Laws： Licensing， Taxes &amp; Compliance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英国FCA发布稳定币发行与加密资产托管制度</w:t>
      </w:r>
    </w:p>
    <w:p>
      <w:pPr>
        <w:spacing w:before="0" w:after="0" w:line="240" w:lineRule="auto"/>
        <w:ind w:left="0" w:right="0" w:firstLine="0"/>
        <w:jc w:val="both"/>
      </w:pPr>
      <w:r>
        <w:rPr>
          <w:rFonts w:ascii="Times New Roman" w:hAnsi="Times New Roman" w:cs="Times New Roman" w:eastAsia="仿宋"/>
          <w:b w:val="0"/>
          <w:sz w:val="28"/>
        </w:rPr>
        <w:t>· 英国金融行为监管局（FCA）于2026年6月4日正式发布了稳定币发行与加密资产托管规则。</w:t>
      </w:r>
    </w:p>
    <w:p>
      <w:pPr>
        <w:spacing w:before="0" w:after="0" w:line="240" w:lineRule="auto"/>
        <w:ind w:left="0" w:right="0" w:firstLine="0"/>
        <w:jc w:val="both"/>
      </w:pPr>
      <w:r>
        <w:rPr>
          <w:rFonts w:ascii="Times New Roman" w:hAnsi="Times New Roman" w:cs="Times New Roman" w:eastAsia="仿宋"/>
          <w:b w:val="0"/>
          <w:sz w:val="28"/>
        </w:rPr>
        <w:t>· 新制度旨在为稳定币发行方和托管服务商提供明确的监管框架，增强市场信心。</w:t>
      </w:r>
    </w:p>
    <w:p>
      <w:pPr>
        <w:spacing w:before="0" w:after="0" w:line="240" w:lineRule="auto"/>
        <w:ind w:left="0" w:right="0" w:firstLine="0"/>
        <w:jc w:val="both"/>
      </w:pPr>
      <w:r>
        <w:rPr>
          <w:rFonts w:ascii="Times New Roman" w:hAnsi="Times New Roman" w:cs="Times New Roman" w:eastAsia="仿宋"/>
          <w:b w:val="0"/>
          <w:sz w:val="28"/>
        </w:rPr>
        <w:t>· 此举对英国及欧洲加密市场具有重要影响，或推动更多合规稳定币项目落地。</w:t>
      </w:r>
    </w:p>
    <w:p>
      <w:pPr>
        <w:pStyle w:val="正文内容"/>
        <w:spacing w:before="0" w:after="0" w:line="240" w:lineRule="auto"/>
        <w:ind w:left="0" w:right="0" w:firstLine="560"/>
        <w:jc w:val="both"/>
      </w:pPr>
      <w:r>
        <w:rPr>
          <w:rFonts w:ascii="Times New Roman" w:hAnsi="Times New Roman" w:cs="Times New Roman" w:eastAsia="仿宋"/>
          <w:b w:val="0"/>
          <w:sz w:val="28"/>
        </w:rPr>
        <w:t>英国金融行为监管局（FCA）于2026年6月4日正式发布了稳定币发行与加密资产托管制度，为这一新兴领域提供了首个全面的监管框架。</w:t>
      </w:r>
    </w:p>
    <w:p>
      <w:pPr>
        <w:pStyle w:val="正文内容"/>
        <w:spacing w:before="0" w:after="0" w:line="240" w:lineRule="auto"/>
        <w:ind w:left="0" w:right="0" w:firstLine="560"/>
        <w:jc w:val="both"/>
      </w:pPr>
      <w:r>
        <w:rPr>
          <w:rFonts w:ascii="Times New Roman" w:hAnsi="Times New Roman" w:cs="Times New Roman" w:eastAsia="仿宋"/>
          <w:b w:val="0"/>
          <w:sz w:val="28"/>
        </w:rPr>
        <w:t>英国金融行为监管局（Financial Conduct Authority，FCA）于2026年6月4日正式发布了稳定币发行与加密资产托管制度。该制度标志着英国在加密资产监管方面迈出了关键一步，首次为稳定币发行方和加密资产托管服务商提供了明确的法律框架。根据FCA的声明，新规则旨在确保市场诚信、保护消费者权益，并维护金融稳定。</w:t>
      </w:r>
    </w:p>
    <w:p>
      <w:pPr>
        <w:pStyle w:val="正文内容"/>
        <w:spacing w:before="0" w:after="0" w:line="240" w:lineRule="auto"/>
        <w:ind w:left="0" w:right="0" w:firstLine="560"/>
        <w:jc w:val="both"/>
      </w:pPr>
      <w:r>
        <w:rPr>
          <w:rFonts w:ascii="Times New Roman" w:hAnsi="Times New Roman" w:cs="Times New Roman" w:eastAsia="仿宋"/>
          <w:b w:val="0"/>
          <w:sz w:val="28"/>
        </w:rPr>
        <w:t>稳定币发行制度要求发行方必须遵守严格的资本储备要求、披露义务和风险管理标准。发行方需要确保其稳定币储备资产与发行数量保持1：1的比例，并接受定期审计。此外，发行方还必须向FCA提交详细的运营计划，包括资产托管、赎回机制和反洗钱（Anti-Money Laundering，AML）措施。FCA表示，这些要求旨在防止稳定币市场出现类似Terra（LUNA）崩溃的危机。</w:t>
      </w:r>
    </w:p>
    <w:p>
      <w:pPr>
        <w:pStyle w:val="正文内容"/>
        <w:spacing w:before="0" w:after="0" w:line="240" w:lineRule="auto"/>
        <w:ind w:left="0" w:right="0" w:firstLine="560"/>
        <w:jc w:val="both"/>
      </w:pPr>
      <w:r>
        <w:rPr>
          <w:rFonts w:ascii="Times New Roman" w:hAnsi="Times New Roman" w:cs="Times New Roman" w:eastAsia="仿宋"/>
          <w:b w:val="0"/>
          <w:sz w:val="28"/>
        </w:rPr>
        <w:t>加密资产托管制度则针对提供托管服务的公司，要求其必须持有适当的资本金，并实施安全的资产隔离和客户资产保护措施。托管方需要定期向FCA报告资产状况，并接受现场检查。FCA强调，托管服务的监管将有助于降低黑客攻击和操作风险，为机构投资者进入加密资产市场提供更安全的环境。</w:t>
      </w:r>
    </w:p>
    <w:p>
      <w:pPr>
        <w:pStyle w:val="正文内容"/>
        <w:spacing w:before="0" w:after="0" w:line="240" w:lineRule="auto"/>
        <w:ind w:left="0" w:right="0" w:firstLine="560"/>
        <w:jc w:val="both"/>
      </w:pPr>
      <w:r>
        <w:rPr>
          <w:rFonts w:ascii="Times New Roman" w:hAnsi="Times New Roman" w:cs="Times New Roman" w:eastAsia="仿宋"/>
          <w:b w:val="0"/>
          <w:sz w:val="28"/>
        </w:rPr>
        <w:t>该制度的出台背景是英国政府致力于成为全球加密资产创新中心。自2024年《金融服务和市场法案》（Financial Services and Markets Act）赋予FCA对稳定币和加密资产托管的新权力以来，FCA一直在起草相关规则。此次发布的制度是经过多轮公众咨询后的最终版本，反映了行业反馈与监管平衡的考量。FCA表示，将根据市场发展和技术创新定期审查和更新这些规则。</w:t>
      </w:r>
    </w:p>
    <w:p>
      <w:pPr>
        <w:pStyle w:val="正文内容"/>
        <w:spacing w:before="0" w:after="0" w:line="240" w:lineRule="auto"/>
        <w:ind w:left="0" w:right="0" w:firstLine="560"/>
        <w:jc w:val="both"/>
      </w:pPr>
      <w:r>
        <w:rPr>
          <w:rFonts w:ascii="Times New Roman" w:hAnsi="Times New Roman" w:cs="Times New Roman" w:eastAsia="仿宋"/>
          <w:b w:val="0"/>
          <w:sz w:val="28"/>
        </w:rPr>
        <w:t>市场分析师认为，FCA的新制度对英国及欧洲加密市场具有重要影响。首先，它为稳定币发行方提供了监管确定性，可能吸引像Circle（USDC发行商）这样的主要参与者申请英国牌照。其次，严格的托管标准可能提高合规成本，但也将淘汰不合规的小型服务商，推动行业整合。最后，该制度可能影响欧洲其他国家的监管态度，尤其是在英国金融行为监管局与欧洲证券和市场管理局（European Securities and Markets Authority，ESMA）之间的协调方面。</w:t>
      </w:r>
    </w:p>
    <w:p>
      <w:pPr>
        <w:pStyle w:val="正文内容"/>
        <w:spacing w:before="0" w:after="0" w:line="240" w:lineRule="auto"/>
        <w:ind w:left="0" w:right="0" w:firstLine="560"/>
        <w:jc w:val="both"/>
      </w:pPr>
      <w:r>
        <w:rPr>
          <w:rFonts w:ascii="Times New Roman" w:hAnsi="Times New Roman" w:cs="Times New Roman" w:eastAsia="仿宋"/>
          <w:b w:val="0"/>
          <w:sz w:val="28"/>
        </w:rPr>
        <w:t>FCA还指出，新制度将于2027年1月1日正式生效，给企业预留了约6个月的过渡期。在此期间，FCA将接受发行方和托管方的申请，并进行初步审核。对于已经在运营的稳定币项目，FCA要求其在过渡期内提交合规计划，否则可能面临强制退市。业内观察人士预计，伦敦可能成为继美元之后最重要的稳定币合规中心之一。</w:t>
      </w:r>
    </w:p>
    <w:p>
      <w:pPr>
        <w:pStyle w:val="正文内容"/>
        <w:spacing w:before="0" w:after="0" w:line="240" w:lineRule="auto"/>
        <w:ind w:left="0" w:right="0" w:firstLine="560"/>
        <w:jc w:val="both"/>
      </w:pPr>
      <w:r>
        <w:rPr>
          <w:rFonts w:ascii="Times New Roman" w:hAnsi="Times New Roman" w:cs="Times New Roman" w:eastAsia="仿宋"/>
          <w:b w:val="0"/>
          <w:sz w:val="28"/>
        </w:rPr>
        <w:t>总体而言，FCA的稳定币发行与加密资产托管制度代表了监管机构在创新与风险之间寻找平衡的努力。随着2027年生效日期的临近，市场参与者需要积极准备合规工作，而监管的清晰度也将为英国加密资产行业的长期发展奠定基础。未来，FCA将继续监测全球监管动态，适时调整规则以应对跨境挑战。</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（信息来源：CryptoSlate）</w:t>
      </w:r>
    </w:p>
    <w:p>
      <w:pPr>
        <w:pStyle w:val="原文信息"/>
        <w:spacing w:before="0" w:after="0" w:line="240" w:lineRule="auto"/>
        <w:ind w:left="0" w:right="0" w:firstLine="0"/>
        <w:jc w:val="left"/>
      </w:pPr>
      <w:r>
        <w:rPr>
          <w:rFonts w:ascii="Times New Roman" w:hAnsi="Times New Roman" w:cs="Times New Roman" w:eastAsia="仿宋"/>
          <w:b w:val="0"/>
          <w:sz w:val="18"/>
        </w:rPr>
        <w:t>原文标题：United Kingdom FCA Stablecoin Issuance and Cryptoasset Custody Regime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以太坊“Glamsterdam”升级目标Q3上线有望突破10万TPS</w:t>
      </w:r>
    </w:p>
    <w:p>
      <w:pPr>
        <w:spacing w:before="0" w:after="0" w:line="240" w:lineRule="auto"/>
        <w:ind w:left="0" w:right="0" w:firstLine="0"/>
        <w:jc w:val="both"/>
      </w:pPr>
      <w:r>
        <w:rPr>
          <w:rFonts w:ascii="Times New Roman" w:hAnsi="Times New Roman" w:cs="Times New Roman" w:eastAsia="仿宋"/>
          <w:b w:val="0"/>
          <w:sz w:val="28"/>
        </w:rPr>
        <w:t>· 以太坊2025年完成Pectra和Fusaka两次硬分叉，确立半年一次的技术升级节奏。</w:t>
      </w:r>
    </w:p>
    <w:p>
      <w:pPr>
        <w:spacing w:before="0" w:after="0" w:line="240" w:lineRule="auto"/>
        <w:ind w:left="0" w:right="0" w:firstLine="0"/>
        <w:jc w:val="both"/>
      </w:pPr>
      <w:r>
        <w:rPr>
          <w:rFonts w:ascii="Times New Roman" w:hAnsi="Times New Roman" w:cs="Times New Roman" w:eastAsia="仿宋"/>
          <w:b w:val="0"/>
          <w:sz w:val="28"/>
        </w:rPr>
        <w:t>· Glamsterdam升级计划于2026年Q2或Q3部署，引入Verkle树实现无状态客户端，推动Layer 2吞吐量超过10万TPS。</w:t>
      </w:r>
    </w:p>
    <w:p>
      <w:pPr>
        <w:spacing w:before="0" w:after="0" w:line="240" w:lineRule="auto"/>
        <w:ind w:left="0" w:right="0" w:firstLine="0"/>
        <w:jc w:val="both"/>
      </w:pPr>
      <w:r>
        <w:rPr>
          <w:rFonts w:ascii="Times New Roman" w:hAnsi="Times New Roman" w:cs="Times New Roman" w:eastAsia="仿宋"/>
          <w:b w:val="0"/>
          <w:sz w:val="28"/>
        </w:rPr>
        <w:t>· ETH当前报1970美元，较历史高点下跌超60%，分析师预计年内反弹区间为2200至3500美元。</w:t>
      </w:r>
    </w:p>
    <w:p>
      <w:pPr>
        <w:pStyle w:val="正文内容"/>
        <w:spacing w:before="0" w:after="0" w:line="240" w:lineRule="auto"/>
        <w:ind w:left="0" w:right="0" w:firstLine="560"/>
        <w:jc w:val="both"/>
      </w:pPr>
      <w:r>
        <w:rPr>
          <w:rFonts w:ascii="Times New Roman" w:hAnsi="Times New Roman" w:cs="Times New Roman" w:eastAsia="仿宋"/>
          <w:b w:val="0"/>
          <w:sz w:val="28"/>
        </w:rPr>
        <w:t>以太坊已完成2025年两次硬分叉，即将迎来Glamsterdam升级，目标将Layer 2吞吐量提升至10万TPS以上，ETH价格当前约1970美元，分析师预测年内可达3500美元。</w:t>
      </w:r>
    </w:p>
    <w:p>
      <w:pPr>
        <w:pStyle w:val="正文内容"/>
        <w:spacing w:before="0" w:after="0" w:line="240" w:lineRule="auto"/>
        <w:ind w:left="0" w:right="0" w:firstLine="560"/>
        <w:jc w:val="both"/>
      </w:pPr>
      <w:r>
        <w:rPr>
          <w:rFonts w:ascii="Times New Roman" w:hAnsi="Times New Roman" w:cs="Times New Roman" w:eastAsia="仿宋"/>
          <w:b w:val="0"/>
          <w:sz w:val="28"/>
        </w:rPr>
        <w:t>以太坊在2025年完成了两次硬分叉：Pectra升级于2025年5月7日上线，合并了Prague执行层和Electra共识层的11份以太坊改进提案（EIP），是网络历史上最大规模的硬分叉。其中EIP-7251将验证者最大有效余额从32 ETH提高至2048 ETH，减少了点对点网络压力；EIP-7702引入了账户抽象原语，允许外部拥有账户在单笔交易中委托智能合约逻辑。随后Fusaka在2025年12月跟进，进一步提升了卷叠（rollup）的数据可用性。这两次分叉将以太坊从一年一次升级转变为结构化的半年发布周期，标志着协议开发进入企业级软件发布模式。</w:t>
      </w:r>
    </w:p>
    <w:p>
      <w:pPr>
        <w:pStyle w:val="正文内容"/>
        <w:spacing w:before="0" w:after="0" w:line="240" w:lineRule="auto"/>
        <w:ind w:left="0" w:right="0" w:firstLine="560"/>
        <w:jc w:val="both"/>
      </w:pPr>
      <w:r>
        <w:rPr>
          <w:rFonts w:ascii="Times New Roman" w:hAnsi="Times New Roman" w:cs="Times New Roman" w:eastAsia="仿宋"/>
          <w:b w:val="0"/>
          <w:sz w:val="28"/>
        </w:rPr>
        <w:t>下一个里程碑是Glamsterdam升级，结合了Glam共识层和Amsterdam执行层变更。其核心功能是全面实施Verkle树，使无状态客户端成为可能，大幅降低运行节点的硬件要求。根据Trent Bolar的中期分析，Glamsterdam被视为以太坊路线图中“激增（The Surge）”阶段完成的最后一大步，目标是在完全去中心化的前提下，将Layer 2生态系统的可持续吞吐量推动至超过10万TPS。2026年还有第二次分叉，代号Heze-Bogota，计划年底上线，旨在加强抗审查机制和量子安全准备。</w:t>
      </w:r>
    </w:p>
    <w:p>
      <w:pPr>
        <w:pStyle w:val="正文内容"/>
        <w:spacing w:before="0" w:after="0" w:line="240" w:lineRule="auto"/>
        <w:ind w:left="0" w:right="0" w:firstLine="560"/>
        <w:jc w:val="both"/>
      </w:pPr>
      <w:r>
        <w:rPr>
          <w:rFonts w:ascii="Times New Roman" w:hAnsi="Times New Roman" w:cs="Times New Roman" w:eastAsia="仿宋"/>
          <w:b w:val="0"/>
          <w:sz w:val="28"/>
        </w:rPr>
        <w:t>截至2026年6月1日，ETH交易价格约1970美元，数据来自CoinDCX。14日相对强弱指数（RSI）报33.56，接近超卖区域；50日移动平均线为2194美元，200日移动平均线为2509美元，当前价格远低于这两个趋势指标。InvestingHaven预测2026年交易区间为1800至3500美元，均价约2700美元。Changelly的模型给出更保守的预估，12月上限为2582美元。LiteFinance则指出，在Layer 2增长和机构需求的乐观情景下，ETH可能测试5301美元。</w:t>
      </w:r>
    </w:p>
    <w:p>
      <w:pPr>
        <w:pStyle w:val="正文内容"/>
        <w:spacing w:before="0" w:after="0" w:line="240" w:lineRule="auto"/>
        <w:ind w:left="0" w:right="0" w:firstLine="560"/>
        <w:jc w:val="both"/>
      </w:pPr>
      <w:r>
        <w:rPr>
          <w:rFonts w:ascii="Times New Roman" w:hAnsi="Times New Roman" w:cs="Times New Roman" w:eastAsia="仿宋"/>
          <w:b w:val="0"/>
          <w:sz w:val="28"/>
        </w:rPr>
        <w:t>链上数据显示约74%的以太坊供应目前处于盈利状态，30日实现价格接近1980美元，CoinDCX引用Coinpaper高级加密货币市场分析师Alex Thornton的观察。长期持有者供应量正在增加，这一模式通常对应积累而非派发。2026年2月初曾发生约19亿美元ETH多头头寸的清算级联，压缩了杠杆头寸。因此当前价格可能低估了宏观条件稳定后的潜在需求。</w:t>
      </w:r>
    </w:p>
    <w:p>
      <w:pPr>
        <w:pStyle w:val="正文内容"/>
        <w:spacing w:before="0" w:after="0" w:line="240" w:lineRule="auto"/>
        <w:ind w:left="0" w:right="0" w:firstLine="560"/>
        <w:jc w:val="both"/>
      </w:pPr>
      <w:r>
        <w:rPr>
          <w:rFonts w:ascii="Times New Roman" w:hAnsi="Times New Roman" w:cs="Times New Roman" w:eastAsia="仿宋"/>
          <w:b w:val="0"/>
          <w:sz w:val="28"/>
        </w:rPr>
        <w:t>从对比角度看，以太坊的升级历史呈现戏剧性递减而技术范围递增的模式。2022年9月的合并（The Merge）淘汰了工作量证明，2024年3月的Dencun升级通过EIP-4844引入proto-danksharding，降低了Layer 2费用。Glamsterdam代表质的飞跃：Dencun仅增加了临时blob存储，而Glamsterdam将通过Verkle证明使全节点不再是交易验证的必需，这是以太坊管理状态的架构性变革。</w:t>
      </w:r>
    </w:p>
    <w:p>
      <w:pPr>
        <w:pStyle w:val="信息来源"/>
        <w:spacing w:before="50" w:after="100" w:line="240" w:lineRule="auto"/>
        <w:ind w:left="0" w:right="0" w:firstLine="0"/>
        <w:jc w:val="right"/>
      </w:pPr>
      <w:r>
        <w:rPr>
          <w:rFonts w:ascii="Times New Roman" w:hAnsi="Times New Roman" w:cs="Times New Roman" w:eastAsia="仿宋"/>
          <w:b w:val="0"/>
          <w:sz w:val="21"/>
        </w:rPr>
        <w:t>（信息来源：FinanceFeeds）</w:t>
      </w:r>
    </w:p>
    <w:p>
      <w:pPr>
        <w:pStyle w:val="原文信息"/>
        <w:spacing w:before="0" w:after="0" w:line="240" w:lineRule="auto"/>
        <w:ind w:left="0" w:right="0" w:firstLine="0"/>
        <w:jc w:val="left"/>
      </w:pPr>
      <w:r>
        <w:rPr>
          <w:rFonts w:ascii="Times New Roman" w:hAnsi="Times New Roman" w:cs="Times New Roman" w:eastAsia="仿宋"/>
          <w:b w:val="0"/>
          <w:sz w:val="18"/>
        </w:rPr>
        <w:t>原文标题：Ethereum Eyes $3，500 as Glamsterdam Upgrade Targets Q3</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原文链接：https://financefeeds.com/ethereum-eyes-3500-as-glamsterdam-upgrade/</w:t>
      </w:r>
    </w:p>
    <w:p/>
    <w:p>
      <w:pPr>
        <w:pStyle w:val="文章一级标题"/>
        <w:spacing w:before="0" w:after="0" w:line="240" w:lineRule="auto"/>
        <w:ind w:left="0" w:right="0" w:firstLine="0"/>
        <w:jc w:val="center"/>
      </w:pPr>
      <w:r>
        <w:rPr>
          <w:rFonts w:ascii="Times New Roman" w:hAnsi="Times New Roman" w:cs="Times New Roman" w:eastAsia="黑体"/>
          <w:b w:val="0"/>
          <w:sz w:val="30"/>
        </w:rPr>
        <w:t>代币化黄金平台PleasingMarket将9000万美元TVL从LayerZero迁移至Chainlink</w:t>
      </w:r>
    </w:p>
    <w:p>
      <w:pPr>
        <w:spacing w:before="0" w:after="0" w:line="240" w:lineRule="auto"/>
        <w:ind w:left="0" w:right="0" w:firstLine="0"/>
        <w:jc w:val="both"/>
      </w:pPr>
      <w:r>
        <w:rPr>
          <w:rFonts w:ascii="Times New Roman" w:hAnsi="Times New Roman" w:cs="Times New Roman" w:eastAsia="仿宋"/>
          <w:b w:val="0"/>
          <w:sz w:val="28"/>
        </w:rPr>
        <w:t>· 代币化黄金平台PleasingMarket于2026年6月4日宣布将9000万美元TVL从LayerZero迁移至Chainlink，以提升安全性和透明度。</w:t>
      </w:r>
    </w:p>
    <w:p>
      <w:pPr>
        <w:spacing w:before="0" w:after="0" w:line="240" w:lineRule="auto"/>
        <w:ind w:left="0" w:right="0" w:firstLine="0"/>
        <w:jc w:val="both"/>
      </w:pPr>
      <w:r>
        <w:rPr>
          <w:rFonts w:ascii="Times New Roman" w:hAnsi="Times New Roman" w:cs="Times New Roman" w:eastAsia="仿宋"/>
          <w:b w:val="0"/>
          <w:sz w:val="28"/>
        </w:rPr>
        <w:t>· 迁移涉及真实世界资产（RWA）代币化，Chainlink的储备证明系统可实时验证链下黄金储备。</w:t>
      </w:r>
    </w:p>
    <w:p>
      <w:pPr>
        <w:spacing w:before="0" w:after="0" w:line="240" w:lineRule="auto"/>
        <w:ind w:left="0" w:right="0" w:firstLine="0"/>
        <w:jc w:val="both"/>
      </w:pPr>
      <w:r>
        <w:rPr>
          <w:rFonts w:ascii="Times New Roman" w:hAnsi="Times New Roman" w:cs="Times New Roman" w:eastAsia="仿宋"/>
          <w:b w:val="0"/>
          <w:sz w:val="28"/>
        </w:rPr>
        <w:t>· 此举可能引发更多RWA项目转向Chainlink，加剧跨链协议与预言机网络间的竞争。</w:t>
      </w:r>
    </w:p>
    <w:p>
      <w:pPr>
        <w:pStyle w:val="正文内容"/>
        <w:spacing w:before="0" w:after="0" w:line="240" w:lineRule="auto"/>
        <w:ind w:left="0" w:right="0" w:firstLine="560"/>
        <w:jc w:val="both"/>
      </w:pPr>
      <w:r>
        <w:rPr>
          <w:rFonts w:ascii="Times New Roman" w:hAnsi="Times New Roman" w:cs="Times New Roman" w:eastAsia="仿宋"/>
          <w:b w:val="0"/>
          <w:sz w:val="28"/>
        </w:rPr>
        <w:t>代币化黄金平台PleasingMarket于2026年6月4日宣布，将其管理的9000万美元锁定总价值（TVL）从LayerZero跨链协议迁移至Chainlink预言机网络，旨在增强资产储备的透明度和安全性。</w:t>
      </w:r>
    </w:p>
    <w:p>
      <w:pPr>
        <w:pStyle w:val="正文内容"/>
        <w:spacing w:before="0" w:after="0" w:line="240" w:lineRule="auto"/>
        <w:ind w:left="0" w:right="0" w:firstLine="560"/>
        <w:jc w:val="both"/>
      </w:pPr>
      <w:r>
        <w:rPr>
          <w:rFonts w:ascii="Times New Roman" w:hAnsi="Times New Roman" w:cs="Times New Roman" w:eastAsia="仿宋"/>
          <w:b w:val="0"/>
          <w:sz w:val="28"/>
        </w:rPr>
        <w:t>代币化黄金平台PleasingMarket于2026年6月4日宣布，已完成将9000万美元锁定总价值（TVL）从LayerZero跨链协议迁移至Chainlink预言机网络。这一迁移涉及PleasingMarket发行的代币化黄金产品，该产品代表链下黄金储备的所有权。迁移的核心目的是利用Chainlink的储备证明（Proof of Reserve， PoR）系统，为用户提供对黄金储备的实时、可验证审计能力，从而降低传统跨链桥可能存在的信任风险。</w:t>
      </w:r>
    </w:p>
    <w:p>
      <w:pPr>
        <w:pStyle w:val="正文内容"/>
        <w:spacing w:before="0" w:after="0" w:line="240" w:lineRule="auto"/>
        <w:ind w:left="0" w:right="0" w:firstLine="560"/>
        <w:jc w:val="both"/>
      </w:pPr>
      <w:r>
        <w:rPr>
          <w:rFonts w:ascii="Times New Roman" w:hAnsi="Times New Roman" w:cs="Times New Roman" w:eastAsia="仿宋"/>
          <w:b w:val="0"/>
          <w:sz w:val="28"/>
        </w:rPr>
        <w:t>PleasingMarket此前依赖LayerZero实现跨链通信和资产转移，但在评估多种方案后，决定采用Chainlink的基础设施。官方声明指出，Chainlink的预言机网络能够直接连接链下黄金托管数据，并通过密码学证明确保数据真实性。相比之下，LayerZero主要聚焦于通用跨链消息传递，缺乏针对实物资产储备验证的专用工具。迁移完成后，PleasingMarket的黄金代币将直接通过Chainlink喂价获取黄金现货价格，并定期更新储备证明。</w:t>
      </w:r>
    </w:p>
    <w:p>
      <w:pPr>
        <w:pStyle w:val="正文内容"/>
        <w:spacing w:before="0" w:after="0" w:line="240" w:lineRule="auto"/>
        <w:ind w:left="0" w:right="0" w:firstLine="560"/>
        <w:jc w:val="both"/>
      </w:pPr>
      <w:r>
        <w:rPr>
          <w:rFonts w:ascii="Times New Roman" w:hAnsi="Times New Roman" w:cs="Times New Roman" w:eastAsia="仿宋"/>
          <w:b w:val="0"/>
          <w:sz w:val="28"/>
        </w:rPr>
        <w:t>此次迁移正值真实世界资产（RWA）代币化市场快速扩张之际。根据行业数据，截至2026年第二季度，代币化黄金、房地产和债券等RWA的总锁仓价值已超过400亿美元。PleasingMarket作为领先的代币化黄金平台，其决策可能影响其他RWA项目的技术选择。分析人士指出，Chainlink在传统金融领域已建立广泛合作关系，包括与多家银行和托管机构的直接数据集成，这使其在RWA赛道中占据独特优势。</w:t>
      </w:r>
    </w:p>
    <w:p>
      <w:pPr>
        <w:pStyle w:val="正文内容"/>
        <w:spacing w:before="0" w:after="0" w:line="240" w:lineRule="auto"/>
        <w:ind w:left="0" w:right="0" w:firstLine="560"/>
        <w:jc w:val="both"/>
      </w:pPr>
      <w:r>
        <w:rPr>
          <w:rFonts w:ascii="Times New Roman" w:hAnsi="Times New Roman" w:cs="Times New Roman" w:eastAsia="仿宋"/>
          <w:b w:val="0"/>
          <w:sz w:val="28"/>
        </w:rPr>
        <w:t>LayerZero方面尚未对迁移发表公开评论。但市场观察人士认为，这一事件反映了跨链互操作领域的权力转移：随着RWA项目对合规性和透明度要求提高，专为通用跨链设计的协议可能面临来自垂直化预言机网络的竞争压力。Chainlink的储备证明系统已在多个项目中部署，包括Aave、Compound等借贷协议，其链下数据验证能力被认为更适合机构级应用。</w:t>
      </w:r>
    </w:p>
    <w:p>
      <w:pPr>
        <w:pStyle w:val="正文内容"/>
        <w:spacing w:before="0" w:after="0" w:line="240" w:lineRule="auto"/>
        <w:ind w:left="0" w:right="0" w:firstLine="560"/>
        <w:jc w:val="both"/>
      </w:pPr>
      <w:r>
        <w:rPr>
          <w:rFonts w:ascii="Times New Roman" w:hAnsi="Times New Roman" w:cs="Times New Roman" w:eastAsia="仿宋"/>
          <w:b w:val="0"/>
          <w:sz w:val="28"/>
        </w:rPr>
        <w:t>PleasingMarket的用户将无需采取额外操作即可完成迁移，所有代币将自动映射至新基础设施。该项目团队表示，迁移过程在48小时内完成，未发生安全事件。下一步，PleasingMarket计划推出基于Chainlink的自动化黄金赎回功能，允许用户在满足条件时直接通过智能合约兑换实物黄金。</w:t>
      </w:r>
    </w:p>
    <w:p>
      <w:pPr>
        <w:pStyle w:val="正文内容"/>
        <w:spacing w:before="0" w:after="0" w:line="240" w:lineRule="auto"/>
        <w:ind w:left="0" w:right="0" w:firstLine="560"/>
        <w:jc w:val="both"/>
      </w:pPr>
      <w:r>
        <w:rPr>
          <w:rFonts w:ascii="Times New Roman" w:hAnsi="Times New Roman" w:cs="Times New Roman" w:eastAsia="仿宋"/>
          <w:b w:val="0"/>
          <w:sz w:val="28"/>
        </w:rPr>
        <w:t>监管层面，美国证券交易委员会（SEC）和商品期货交易委员会（CFTC）近期均加强了对代币化商品的审查。Chainlink的透明审计机制可能帮助PleasingMarket满足监管机构对资产储备数据披露的要求。欧洲监管机构亦在讨论将代币化黄金纳入金融工具分类，这一趋势将进一步推动RWA项目采用可验证的预言机方案。</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 Briefing）</w:t>
      </w:r>
    </w:p>
    <w:p>
      <w:pPr>
        <w:pStyle w:val="原文信息"/>
        <w:spacing w:before="0" w:after="0" w:line="240" w:lineRule="auto"/>
        <w:ind w:left="0" w:right="0" w:firstLine="0"/>
        <w:jc w:val="left"/>
      </w:pPr>
      <w:r>
        <w:rPr>
          <w:rFonts w:ascii="Times New Roman" w:hAnsi="Times New Roman" w:cs="Times New Roman" w:eastAsia="仿宋"/>
          <w:b w:val="0"/>
          <w:sz w:val="18"/>
        </w:rPr>
        <w:t>原文标题：Tokenized gold platform Pleasing Market migrates $90M in TVL from LayerZero to Chainlink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比特币短暂跌破62000美元15亿美元加密多头仓位被清算</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briefly drops below $62，000 as $1.5 billion in crypto longs get wiped out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比特币自2月以来首次跌破63000美元跌势延续</w:t>
      </w:r>
    </w:p>
    <w:p>
      <w:pPr>
        <w:spacing w:before="0" w:after="0" w:line="240" w:lineRule="auto"/>
        <w:ind w:left="0" w:right="0" w:firstLine="0"/>
        <w:jc w:val="both"/>
      </w:pPr>
      <w:r>
        <w:rPr>
          <w:rFonts w:ascii="Times New Roman" w:hAnsi="Times New Roman" w:cs="Times New Roman" w:eastAsia="仿宋"/>
          <w:b w:val="0"/>
          <w:sz w:val="28"/>
        </w:rPr>
        <w:t>· 比特币价格于2026年6月4日跌破63000美元，为2026年2月以来首次。</w:t>
      </w:r>
    </w:p>
    <w:p>
      <w:pPr>
        <w:spacing w:before="0" w:after="0" w:line="240" w:lineRule="auto"/>
        <w:ind w:left="0" w:right="0" w:firstLine="0"/>
        <w:jc w:val="both"/>
      </w:pPr>
      <w:r>
        <w:rPr>
          <w:rFonts w:ascii="Times New Roman" w:hAnsi="Times New Roman" w:cs="Times New Roman" w:eastAsia="仿宋"/>
          <w:b w:val="0"/>
          <w:sz w:val="28"/>
        </w:rPr>
        <w:t>· 此次下跌延续了近期抛售趋势，市场关注关键支撑位能否守住。</w:t>
      </w:r>
    </w:p>
    <w:p>
      <w:pPr>
        <w:spacing w:before="0" w:after="0" w:line="240" w:lineRule="auto"/>
        <w:ind w:left="0" w:right="0" w:firstLine="0"/>
        <w:jc w:val="both"/>
      </w:pPr>
      <w:r>
        <w:rPr>
          <w:rFonts w:ascii="Times New Roman" w:hAnsi="Times New Roman" w:cs="Times New Roman" w:eastAsia="仿宋"/>
          <w:b w:val="0"/>
          <w:sz w:val="28"/>
        </w:rPr>
        <w:t>· 投资者情绪趋于谨慎，交易量有所放大。</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2026年6月4日，比特币价格延续下跌趋势，自2026年2月以来首次跌破63000美元关口，引发市场广泛关注。</w:t>
      </w:r>
    </w:p>
    <w:p>
      <w:pPr>
        <w:pStyle w:val="正文内容"/>
        <w:spacing w:before="0" w:after="0" w:line="240" w:lineRule="auto"/>
        <w:ind w:left="0" w:right="0" w:firstLine="560"/>
        <w:jc w:val="both"/>
      </w:pPr>
      <w:r>
        <w:rPr>
          <w:rFonts w:ascii="Times New Roman" w:hAnsi="Times New Roman" w:cs="Times New Roman" w:eastAsia="仿宋"/>
          <w:b w:val="0"/>
          <w:sz w:val="28"/>
        </w:rPr>
        <w:t>根据CoinDesk行情数据，比特币在亚洲交易时段大幅下挫，自2026年2月以来首次跌破63000美元。这一关键心理价位的失守标志着近期抛售升级，过去数周比特币从阶段性高点回落逾10%。</w:t>
      </w:r>
    </w:p>
    <w:p>
      <w:pPr>
        <w:pStyle w:val="正文内容"/>
        <w:spacing w:before="0" w:after="0" w:line="240" w:lineRule="auto"/>
        <w:ind w:left="0" w:right="0" w:firstLine="560"/>
        <w:jc w:val="both"/>
      </w:pPr>
      <w:r>
        <w:rPr>
          <w:rFonts w:ascii="Times New Roman" w:hAnsi="Times New Roman" w:cs="Times New Roman" w:eastAsia="仿宋"/>
          <w:b w:val="0"/>
          <w:sz w:val="28"/>
        </w:rPr>
        <w:t>自2026年2月（比特币最后一次低于63000美元）以来，市场经历了多次反弹，但近期抛压持续加大。分析人士指出，宏观因素与加密货币内部杠杆出清共同推动下行。</w:t>
      </w:r>
    </w:p>
    <w:p>
      <w:pPr>
        <w:pStyle w:val="正文内容"/>
        <w:spacing w:before="0" w:after="0" w:line="240" w:lineRule="auto"/>
        <w:ind w:left="0" w:right="0" w:firstLine="560"/>
        <w:jc w:val="both"/>
      </w:pPr>
      <w:r>
        <w:rPr>
          <w:rFonts w:ascii="Times New Roman" w:hAnsi="Times New Roman" w:cs="Times New Roman" w:eastAsia="仿宋"/>
          <w:b w:val="0"/>
          <w:sz w:val="28"/>
        </w:rPr>
        <w:t>比特币跌破63000美元后，部分止损单被触发，加速了价格下跌。链上数据显示，持有者在过去24小时内向交易所转移了可观数量的比特币，可能暗示获利了结或恐慌抛售。</w:t>
      </w:r>
    </w:p>
    <w:p>
      <w:pPr>
        <w:pStyle w:val="正文内容"/>
        <w:spacing w:before="0" w:after="0" w:line="240" w:lineRule="auto"/>
        <w:ind w:left="0" w:right="0" w:firstLine="560"/>
        <w:jc w:val="both"/>
      </w:pPr>
      <w:r>
        <w:rPr>
          <w:rFonts w:ascii="Times New Roman" w:hAnsi="Times New Roman" w:cs="Times New Roman" w:eastAsia="仿宋"/>
          <w:b w:val="0"/>
          <w:sz w:val="28"/>
        </w:rPr>
        <w:t>其他主流加密货币同步走低，以太坊（Ethereum，ETH）跌至3500美元附近，市场整体市值蒸发约5%。衍生品市场未平仓合约减少，显示投机情绪降温。</w:t>
      </w:r>
    </w:p>
    <w:p>
      <w:pPr>
        <w:pStyle w:val="正文内容"/>
        <w:spacing w:before="0" w:after="0" w:line="240" w:lineRule="auto"/>
        <w:ind w:left="0" w:right="0" w:firstLine="560"/>
        <w:jc w:val="both"/>
      </w:pPr>
      <w:r>
        <w:rPr>
          <w:rFonts w:ascii="Times New Roman" w:hAnsi="Times New Roman" w:cs="Times New Roman" w:eastAsia="仿宋"/>
          <w:b w:val="0"/>
          <w:sz w:val="28"/>
        </w:rPr>
        <w:t>截至发稿，比特币在62500美元附近震荡。交易员密切关注60000美元整数关口，若进一步失守，可能触发更深回调。CoinDesk分析师表示，短期内市场需要新的催化剂才能逆转趋势。</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selloff continues as prices slide below $63，000 for the first time since February</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CryptoQuant首席执行官称比特币投资者正向长期持有者转变</w:t>
      </w:r>
    </w:p>
    <w:p>
      <w:pPr>
        <w:spacing w:before="0" w:after="0" w:line="240" w:lineRule="auto"/>
        <w:ind w:left="0" w:right="0" w:firstLine="0"/>
        <w:jc w:val="both"/>
      </w:pPr>
      <w:r>
        <w:rPr>
          <w:rFonts w:ascii="Times New Roman" w:hAnsi="Times New Roman" w:cs="Times New Roman" w:eastAsia="仿宋"/>
          <w:b w:val="0"/>
          <w:sz w:val="28"/>
        </w:rPr>
        <w:t>· CryptoQuant CEO指出比特币投资者行为正在从短期交易转向长期持有</w:t>
      </w:r>
    </w:p>
    <w:p>
      <w:pPr>
        <w:spacing w:before="0" w:after="0" w:line="240" w:lineRule="auto"/>
        <w:ind w:left="0" w:right="0" w:firstLine="0"/>
        <w:jc w:val="both"/>
      </w:pPr>
      <w:r>
        <w:rPr>
          <w:rFonts w:ascii="Times New Roman" w:hAnsi="Times New Roman" w:cs="Times New Roman" w:eastAsia="仿宋"/>
          <w:b w:val="0"/>
          <w:sz w:val="28"/>
        </w:rPr>
        <w:t>· 链上数据显示长期持有者供应量持续增加，市场情绪趋于成熟</w:t>
      </w:r>
    </w:p>
    <w:p>
      <w:pPr>
        <w:pStyle w:val="正文内容"/>
        <w:spacing w:before="0" w:after="0" w:line="240" w:lineRule="auto"/>
        <w:ind w:left="0" w:right="0" w:firstLine="560"/>
        <w:jc w:val="both"/>
      </w:pPr>
      <w:r>
        <w:rPr>
          <w:rFonts w:ascii="Times New Roman" w:hAnsi="Times New Roman" w:cs="Times New Roman" w:eastAsia="仿宋"/>
          <w:b w:val="0"/>
          <w:sz w:val="28"/>
        </w:rPr>
        <w:t>CryptoQuant首席执行官近日表示，比特币投资者正加速向长期持有者转变，链上数据支持这一趋势，市场结构可能发生根本性变化。</w:t>
      </w:r>
    </w:p>
    <w:p>
      <w:pPr>
        <w:pStyle w:val="正文内容"/>
        <w:spacing w:before="0" w:after="0" w:line="240" w:lineRule="auto"/>
        <w:ind w:left="0" w:right="0" w:firstLine="560"/>
        <w:jc w:val="both"/>
      </w:pPr>
      <w:r>
        <w:rPr>
          <w:rFonts w:ascii="Times New Roman" w:hAnsi="Times New Roman" w:cs="Times New Roman" w:eastAsia="仿宋"/>
          <w:b w:val="0"/>
          <w:sz w:val="28"/>
        </w:rPr>
        <w:t>CryptoQuant首席执行官于2026年6月4日发表观点，称比特币投资者正在从短期交易策略转向长期持有模式。他指出，链上数据显示长期持有者（持有比特币超过155天的地址）的供应量正在稳步增加，而短期持有者的活跃度下降，这标志着市场情绪从投机转向价值储存。</w:t>
      </w:r>
    </w:p>
    <w:p>
      <w:pPr>
        <w:pStyle w:val="正文内容"/>
        <w:spacing w:before="0" w:after="0" w:line="240" w:lineRule="auto"/>
        <w:ind w:left="0" w:right="0" w:firstLine="560"/>
        <w:jc w:val="both"/>
      </w:pPr>
      <w:r>
        <w:rPr>
          <w:rFonts w:ascii="Times New Roman" w:hAnsi="Times New Roman" w:cs="Times New Roman" w:eastAsia="仿宋"/>
          <w:b w:val="0"/>
          <w:sz w:val="28"/>
        </w:rPr>
        <w:t>根据CryptoQuant的分析，长期持有者供应量在2026年第二季度达到历史新高，占流通供应量的比例超过75%。CEO强调，这一趋势与比特币减半周期后的市场行为一致，通常减半事件会激发持有者更强烈的囤积意愿。此外，交易所的比特币余额持续下降，进一步说明投资者正将资产转移到自我托管钱包，减少流动性供给。</w:t>
      </w:r>
    </w:p>
    <w:p>
      <w:pPr>
        <w:pStyle w:val="正文内容"/>
        <w:spacing w:before="0" w:after="0" w:line="240" w:lineRule="auto"/>
        <w:ind w:left="0" w:right="0" w:firstLine="560"/>
        <w:jc w:val="both"/>
      </w:pPr>
      <w:r>
        <w:rPr>
          <w:rFonts w:ascii="Times New Roman" w:hAnsi="Times New Roman" w:cs="Times New Roman" w:eastAsia="仿宋"/>
          <w:b w:val="0"/>
          <w:sz w:val="28"/>
        </w:rPr>
        <w:t>背景方面，自2024年第四次减半以来，比特币区块奖励减少，新币供应量下降，而机构投资者通过现货ETF等渠道持续增持。CryptoQuant CEO认为，长期持有者群体的壮大是比特币网络成熟的重要标志，减少了价格大幅波动的风险。不过，他也警告称，如果宏观经济条件恶化，长期持有者也可能被迫出售，但目前未见明显抛压。</w:t>
      </w:r>
    </w:p>
    <w:p>
      <w:pPr>
        <w:pStyle w:val="正文内容"/>
        <w:spacing w:before="0" w:after="0" w:line="240" w:lineRule="auto"/>
        <w:ind w:left="0" w:right="0" w:firstLine="560"/>
        <w:jc w:val="both"/>
      </w:pPr>
      <w:r>
        <w:rPr>
          <w:rFonts w:ascii="Times New Roman" w:hAnsi="Times New Roman" w:cs="Times New Roman" w:eastAsia="仿宋"/>
          <w:b w:val="0"/>
          <w:sz w:val="28"/>
        </w:rPr>
        <w:t>市场影响上，该观点与近期比特币价格在60000美元区间震荡的行情相符。长期持有者占比提升通常预示市场底部支撑增强，但也可能导致流动性降低，加剧短期波动。监管层面，美国证券交易委员会（SEC）在2025年批准了多个比特币现货ETF，为机构投资者提供了合规渠道，间接推动了长期持有行为。</w:t>
      </w:r>
    </w:p>
    <w:p>
      <w:pPr>
        <w:pStyle w:val="正文内容"/>
        <w:spacing w:before="0" w:after="0" w:line="240" w:lineRule="auto"/>
        <w:ind w:left="0" w:right="0" w:firstLine="560"/>
        <w:jc w:val="both"/>
      </w:pPr>
      <w:r>
        <w:rPr>
          <w:rFonts w:ascii="Times New Roman" w:hAnsi="Times New Roman" w:cs="Times New Roman" w:eastAsia="仿宋"/>
          <w:b w:val="0"/>
          <w:sz w:val="28"/>
        </w:rPr>
        <w:t>后续观察方面，分析师将密切关注长期持有者供应量的变化速度，以及是否出现大量获利了结的迹象。CryptoQuant CEO建议投资者关注链上“休眠指数”等指标，以判断市场是否进入新的积累阶段。总体而言，这一转变如果持续，将强化比特币作为数字黄金的投资叙事。</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（信息来源：bloomingbit）</w:t>
      </w:r>
    </w:p>
    <w:p>
      <w:pPr>
        <w:pStyle w:val="原文信息"/>
        <w:spacing w:before="0" w:after="0" w:line="240" w:lineRule="auto"/>
        <w:ind w:left="0" w:right="0" w:firstLine="0"/>
        <w:jc w:val="left"/>
      </w:pPr>
      <w:r>
        <w:rPr>
          <w:rFonts w:ascii="Times New Roman" w:hAnsi="Times New Roman" w:cs="Times New Roman" w:eastAsia="仿宋"/>
          <w:b w:val="0"/>
          <w:sz w:val="18"/>
        </w:rPr>
        <w:t>原文标题：CryptoQuant CEO Says Bitcoin Investors Are Shifting Into Long-Term Holders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Pompliano呼吁无视每四年宣告比特币死亡的“尖叫熊”他们总是错的</w:t>
      </w:r>
    </w:p>
    <w:p>
      <w:pPr>
        <w:spacing w:before="0" w:after="0" w:line="240" w:lineRule="auto"/>
        <w:ind w:left="0" w:right="0" w:firstLine="0"/>
        <w:jc w:val="both"/>
      </w:pPr>
      <w:r>
        <w:rPr>
          <w:rFonts w:ascii="Times New Roman" w:hAnsi="Times New Roman" w:cs="Times New Roman" w:eastAsia="仿宋"/>
          <w:b w:val="0"/>
          <w:sz w:val="28"/>
        </w:rPr>
        <w:t>· Anthony Pompliano连续第N次反驳比特币死亡论，认为那些周期性唱空的声音总是错误。</w:t>
      </w:r>
    </w:p>
    <w:p>
      <w:pPr>
        <w:spacing w:before="0" w:after="0" w:line="240" w:lineRule="auto"/>
        <w:ind w:left="0" w:right="0" w:firstLine="0"/>
        <w:jc w:val="both"/>
      </w:pPr>
      <w:r>
        <w:rPr>
          <w:rFonts w:ascii="Times New Roman" w:hAnsi="Times New Roman" w:cs="Times New Roman" w:eastAsia="仿宋"/>
          <w:b w:val="0"/>
          <w:sz w:val="28"/>
        </w:rPr>
        <w:t>· 历史数据表明比特币每四年经历一次价格周期，但长期趋势始终向上。</w:t>
      </w:r>
    </w:p>
    <w:p>
      <w:pPr>
        <w:spacing w:before="0" w:after="0" w:line="240" w:lineRule="auto"/>
        <w:ind w:left="0" w:right="0" w:firstLine="0"/>
        <w:jc w:val="both"/>
      </w:pPr>
      <w:r>
        <w:rPr>
          <w:rFonts w:ascii="Times New Roman" w:hAnsi="Times New Roman" w:cs="Times New Roman" w:eastAsia="仿宋"/>
          <w:b w:val="0"/>
          <w:sz w:val="28"/>
        </w:rPr>
        <w:t>· Pompliano建议投资者忽略短期噪音，关注比特币的基本面和技术进步。</w:t>
      </w:r>
    </w:p>
    <w:p>
      <w:pPr>
        <w:pStyle w:val="正文内容"/>
        <w:spacing w:before="0" w:after="0" w:line="240" w:lineRule="auto"/>
        <w:ind w:left="0" w:right="0" w:firstLine="560"/>
        <w:jc w:val="both"/>
      </w:pPr>
      <w:r>
        <w:rPr>
          <w:rFonts w:ascii="Times New Roman" w:hAnsi="Times New Roman" w:cs="Times New Roman" w:eastAsia="仿宋"/>
          <w:b w:val="0"/>
          <w:sz w:val="28"/>
        </w:rPr>
        <w:t>知名加密投资者Anthony Pompliano再次发声，呼吁市场忽略那些每四年就宣告比特币死亡的“尖叫熊”，并强调他们总是错的。</w:t>
      </w:r>
    </w:p>
    <w:p>
      <w:pPr>
        <w:pStyle w:val="正文内容"/>
        <w:spacing w:before="0" w:after="0" w:line="240" w:lineRule="auto"/>
        <w:ind w:left="0" w:right="0" w:firstLine="560"/>
        <w:jc w:val="both"/>
      </w:pPr>
      <w:r>
        <w:rPr>
          <w:rFonts w:ascii="Times New Roman" w:hAnsi="Times New Roman" w:cs="Times New Roman" w:eastAsia="仿宋"/>
          <w:b w:val="0"/>
          <w:sz w:val="28"/>
        </w:rPr>
        <w:t>知名加密投资者Anthony Pompliano于2026年6月4日发表观点，呼吁市场忽略那些每四年就宣告比特币（Bitcoin，BTC）死亡的“尖叫熊”，并强调他们总是错的。Pompliano指出，自比特币诞生以来，每当价格经历大幅下跌或进入熊市周期时，总会有分析人士和媒体高呼比特币已死，但历史证明这些预测几乎从未成真。他认为，这种周期性的看空声音更多是市场情绪的反映，而非基于比特币长期价值的客观分析。</w:t>
      </w:r>
    </w:p>
    <w:p>
      <w:pPr>
        <w:pStyle w:val="正文内容"/>
        <w:spacing w:before="0" w:after="0" w:line="240" w:lineRule="auto"/>
        <w:ind w:left="0" w:right="0" w:firstLine="560"/>
        <w:jc w:val="both"/>
      </w:pPr>
      <w:r>
        <w:rPr>
          <w:rFonts w:ascii="Times New Roman" w:hAnsi="Times New Roman" w:cs="Times New Roman" w:eastAsia="仿宋"/>
          <w:b w:val="0"/>
          <w:sz w:val="28"/>
        </w:rPr>
        <w:t>Pompliano在发言中回顾了比特币过去多个周期的表现。例如，在2014年、2018年和2022年的深度熊市中，比特币都曾被大量媒体和专家宣告死亡，但每次它都从废墟中重生并创下新高。他强调，比特币的底层技术——区块链（Blockchain）——以及其去中心化（Decentralization）的特性并未因价格波动而改变，反而随着时间推移不断获得更多机构采用和基础设施建设。</w:t>
      </w:r>
    </w:p>
    <w:p>
      <w:pPr>
        <w:pStyle w:val="正文内容"/>
        <w:spacing w:before="0" w:after="0" w:line="240" w:lineRule="auto"/>
        <w:ind w:left="0" w:right="0" w:firstLine="560"/>
        <w:jc w:val="both"/>
      </w:pPr>
      <w:r>
        <w:rPr>
          <w:rFonts w:ascii="Times New Roman" w:hAnsi="Times New Roman" w:cs="Times New Roman" w:eastAsia="仿宋"/>
          <w:b w:val="0"/>
          <w:sz w:val="28"/>
        </w:rPr>
        <w:t>Pompliano认为，那些宣告比特币死亡的言论通常源于对短期价格波动的过度关注。他指出，比特币的供应量被编程为每四年减半（Halving），这使其具有天然的稀缺性，并驱动了长期价格上升。尽管市场情绪可能因宏观经济或监管不确定性而起伏，但比特币作为一种数字资产（Digital Asset）的储存价值（Store of Value）叙事正在被越来越多的投资者接受。</w:t>
      </w:r>
    </w:p>
    <w:p>
      <w:pPr>
        <w:pStyle w:val="正文内容"/>
        <w:spacing w:before="0" w:after="0" w:line="240" w:lineRule="auto"/>
        <w:ind w:left="0" w:right="0" w:firstLine="560"/>
        <w:jc w:val="both"/>
      </w:pPr>
      <w:r>
        <w:rPr>
          <w:rFonts w:ascii="Times New Roman" w:hAnsi="Times New Roman" w:cs="Times New Roman" w:eastAsia="仿宋"/>
          <w:b w:val="0"/>
          <w:sz w:val="28"/>
        </w:rPr>
        <w:t>与此同时，Pompliano提醒投资者关注比特币网络的基本面指标，例如算力（Hashrate）和活跃地址数。即便在价格低迷时期，比特币网络的安全性（Security）和用户参与度依然保持强劲。他进一步表示，那些“尖叫熊”往往忽略了比特币在跨境支付、抗通胀（Inflation Hedge）以及金融包容性（Financial Inclusion）方面的实际应用潜力，而这些正是推动其长期价值的核心因素。</w:t>
      </w:r>
    </w:p>
    <w:p>
      <w:pPr>
        <w:pStyle w:val="正文内容"/>
        <w:spacing w:before="0" w:after="0" w:line="240" w:lineRule="auto"/>
        <w:ind w:left="0" w:right="0" w:firstLine="560"/>
        <w:jc w:val="both"/>
      </w:pPr>
      <w:r>
        <w:rPr>
          <w:rFonts w:ascii="Times New Roman" w:hAnsi="Times New Roman" w:cs="Times New Roman" w:eastAsia="仿宋"/>
          <w:b w:val="0"/>
          <w:sz w:val="28"/>
        </w:rPr>
        <w:t>Pompliano的这番言论背景是比特币当前正处于新一轮熊市周期之中。根据其过往言论，他几乎在每个熊市底部都会发出类似呼吁。他的观点在加密社区内引发强烈共鸣，但也遭到一些怀疑论者的反驳，认为过度乐观可能忽视市场风险。不过，从历史表现来看，Pompliano的长期看多策略确实获得了显著回报，这也让他的声音在市场中拥有一定影响力。</w:t>
      </w:r>
    </w:p>
    <w:p>
      <w:pPr>
        <w:pStyle w:val="正文内容"/>
        <w:spacing w:before="0" w:after="0" w:line="240" w:lineRule="auto"/>
        <w:ind w:left="0" w:right="0" w:firstLine="560"/>
        <w:jc w:val="both"/>
      </w:pPr>
      <w:r>
        <w:rPr>
          <w:rFonts w:ascii="Times New Roman" w:hAnsi="Times New Roman" w:cs="Times New Roman" w:eastAsia="仿宋"/>
          <w:b w:val="0"/>
          <w:sz w:val="28"/>
        </w:rPr>
        <w:t>对于普通投资者，Pompliano建议采取“定额定投”（Dollar-Cost Averaging，DCA）策略，并保持对技术发展的长期关注。他相信，比特币最终将成为一种全球性的价值储存手段，而当前的每一次回调都是买入机会。尽管未来走势难以预测，但Pompliano坚持认为，那些每四年宣告比特币死亡的人终将重复犯错。</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（信息来源：Benzinga）</w:t>
      </w:r>
    </w:p>
    <w:p>
      <w:pPr>
        <w:pStyle w:val="原文信息"/>
        <w:spacing w:before="0" w:after="0" w:line="240" w:lineRule="auto"/>
        <w:ind w:left="0" w:right="0" w:firstLine="0"/>
        <w:jc w:val="left"/>
      </w:pPr>
      <w:r>
        <w:rPr>
          <w:rFonts w:ascii="Times New Roman" w:hAnsi="Times New Roman" w:cs="Times New Roman" w:eastAsia="仿宋"/>
          <w:b w:val="0"/>
          <w:sz w:val="18"/>
        </w:rPr>
        <w:t>原文标题：Anthony Pompliano Says Ignore Screeching Bears That Declare Bitcoin Dead Every 4 Years： ‘They Are Wrong Every Time’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2026-06-01 15:27 至 2026-06-04 15:27（北京时间，最近3天）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