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美CFTC起诉犹他州力保Kalshi在当地提供投注的能力</w:t>
      </w:r>
    </w:p>
    <w:p>
      <w:pPr>
        <w:pStyle w:val="ListParagraph"/>
        <w:spacing w:before="0" w:after="0" w:line="360" w:lineRule="auto"/>
        <w:ind w:left="0" w:firstLine="0"/>
      </w:pPr>
      <w:r>
        <w:rPr>
          <w:rFonts w:ascii="Times New Roman" w:hAnsi="Times New Roman" w:cs="Times New Roman" w:eastAsia="楷体"/>
          <w:b w:val="0"/>
          <w:sz w:val="28"/>
        </w:rPr>
        <w:t>· ESMA要求欧盟加密公司停止不合规稳定币服务</w:t>
      </w:r>
    </w:p>
    <w:p>
      <w:pPr>
        <w:pStyle w:val="ListParagraph"/>
        <w:spacing w:before="0" w:after="0" w:line="360" w:lineRule="auto"/>
        <w:ind w:left="0" w:firstLine="0"/>
      </w:pPr>
      <w:r>
        <w:rPr>
          <w:rFonts w:ascii="Times New Roman" w:hAnsi="Times New Roman" w:cs="Times New Roman" w:eastAsia="楷体"/>
          <w:b w:val="0"/>
          <w:sz w:val="28"/>
        </w:rPr>
        <w:t>· 香港启动受监管的零售代币化货币市场基金24/7交易</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CFBenchmarks将华尔街定价基础设施上链包括BlackRock使用的数据</w:t>
      </w:r>
    </w:p>
    <w:p>
      <w:pPr>
        <w:pStyle w:val="ListParagraph"/>
        <w:spacing w:before="0" w:after="0" w:line="360" w:lineRule="auto"/>
        <w:ind w:left="0" w:firstLine="0"/>
      </w:pPr>
      <w:r>
        <w:rPr>
          <w:rFonts w:ascii="Times New Roman" w:hAnsi="Times New Roman" w:cs="Times New Roman" w:eastAsia="楷体"/>
          <w:b w:val="0"/>
          <w:sz w:val="28"/>
        </w:rPr>
        <w:t>· JanusHenderson与Centrifuge在Stellar推出代币化纳斯达克100基金</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BNY为合格机构提供XRP托管C2FO计划以RLUSD在XRPLedger结算</w:t>
      </w:r>
    </w:p>
    <w:p>
      <w:pPr>
        <w:pStyle w:val="ListParagraph"/>
        <w:spacing w:before="0" w:after="0" w:line="360" w:lineRule="auto"/>
        <w:ind w:left="0" w:firstLine="0"/>
      </w:pPr>
      <w:r>
        <w:rPr>
          <w:rFonts w:ascii="Times New Roman" w:hAnsi="Times New Roman" w:cs="Times New Roman" w:eastAsia="楷体"/>
          <w:b w:val="0"/>
          <w:sz w:val="28"/>
        </w:rPr>
        <w:t>· 巴西企业在选举日转向稳定币以规避货币暴跌</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Stacks创始人MuneebAli量子担忧已在限制比特币增长</w:t>
      </w:r>
    </w:p>
    <w:p>
      <w:pPr>
        <w:pStyle w:val="ListParagraph"/>
        <w:spacing w:before="0" w:after="0" w:line="360" w:lineRule="auto"/>
        <w:ind w:left="0" w:firstLine="0"/>
      </w:pPr>
      <w:r>
        <w:rPr>
          <w:rFonts w:ascii="Times New Roman" w:hAnsi="Times New Roman" w:cs="Times New Roman" w:eastAsia="楷体"/>
          <w:b w:val="0"/>
          <w:sz w:val="28"/>
        </w:rPr>
        <w:t>· Zcash1.25亿美元资金之争扩大TylerWinklevoss呼吁结束其“USAID”</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美CFTC起诉犹他州力保Kalshi在当地提供投注的能力</w:t>
      </w:r>
    </w:p>
    <w:p>
      <w:pPr>
        <w:spacing w:before="0" w:after="0" w:line="240" w:lineRule="auto"/>
        <w:ind w:left="0" w:right="0" w:firstLine="0"/>
        <w:jc w:val="both"/>
      </w:pPr>
      <w:r>
        <w:rPr>
          <w:rFonts w:ascii="Times New Roman" w:hAnsi="Times New Roman" w:cs="Times New Roman" w:eastAsia="仿宋"/>
          <w:b w:val="0"/>
          <w:sz w:val="28"/>
        </w:rPr>
        <w:t>· 美国商品期货交易委员会（Commodity Futures Trading Commission，CFTC）就犹他州提起联邦诉讼，请求法院叫停犹他州总检察长上周发起的、旨在限制Kalshi向该州居民提供赌博服务的执法行动。</w:t>
      </w:r>
    </w:p>
    <w:p>
      <w:pPr>
        <w:spacing w:before="0" w:after="0" w:line="240" w:lineRule="auto"/>
        <w:ind w:left="0" w:right="0" w:firstLine="0"/>
        <w:jc w:val="both"/>
      </w:pPr>
      <w:r>
        <w:rPr>
          <w:rFonts w:ascii="Times New Roman" w:hAnsi="Times New Roman" w:cs="Times New Roman" w:eastAsia="仿宋"/>
          <w:b w:val="0"/>
          <w:sz w:val="28"/>
        </w:rPr>
        <w:t>· 赌博在犹他州属非法、且该州宪法禁止赌博；CFTC主张其联邦权限优先于州级权限，并认为自己是预测市场（prediction market）的唯一监管者。</w:t>
      </w:r>
    </w:p>
    <w:p>
      <w:pPr>
        <w:spacing w:before="0" w:after="0" w:line="240" w:lineRule="auto"/>
        <w:ind w:left="0" w:right="0" w:firstLine="0"/>
        <w:jc w:val="both"/>
      </w:pPr>
      <w:r>
        <w:rPr>
          <w:rFonts w:ascii="Times New Roman" w:hAnsi="Times New Roman" w:cs="Times New Roman" w:eastAsia="仿宋"/>
          <w:b w:val="0"/>
          <w:sz w:val="28"/>
        </w:rPr>
        <w:t>· CFTC主席Mike Selig表示，事件合约（event contract）不仅服务于对冲和投资目的，还为公众提供有关未来事件结果的信息；前主席Gary Gensler与《多德-弗兰克法案》（Dodd-Frank Act）作者之一、前参议员Chris Dodd则分别提交文件，支持州一方观点。</w:t>
      </w:r>
    </w:p>
    <w:p>
      <w:pPr>
        <w:pStyle w:val="正文内容"/>
        <w:spacing w:before="0" w:after="0" w:line="240" w:lineRule="auto"/>
        <w:ind w:left="0" w:right="0" w:firstLine="560"/>
        <w:jc w:val="both"/>
      </w:pPr>
      <w:r>
        <w:rPr>
          <w:rFonts w:ascii="Times New Roman" w:hAnsi="Times New Roman" w:cs="Times New Roman" w:eastAsia="仿宋"/>
          <w:b w:val="0"/>
          <w:sz w:val="28"/>
        </w:rPr>
        <w:t>美国商品期货交易委员会（Commodity Futures Trading Commission，CFTC）已就犹他州提起联邦诉讼，试图阻止该州限制Kalshi向当地居民提供预测市场投注的执法行动，并主张其联邦权限优先于州级权限。</w:t>
      </w:r>
    </w:p>
    <w:p>
      <w:pPr>
        <w:pStyle w:val="正文内容"/>
        <w:spacing w:before="0" w:after="0" w:line="240" w:lineRule="auto"/>
        <w:ind w:left="0" w:right="0" w:firstLine="560"/>
        <w:jc w:val="both"/>
      </w:pPr>
      <w:r>
        <w:rPr>
          <w:rFonts w:ascii="Times New Roman" w:hAnsi="Times New Roman" w:cs="Times New Roman" w:eastAsia="仿宋"/>
          <w:b w:val="0"/>
          <w:sz w:val="28"/>
        </w:rPr>
        <w:t>美国商品期货交易委员会（Commodity Futures Trading Commission，CFTC）已就犹他州提起联邦诉讼，以阻止该州试图叫停预测市场（prediction market）投注的做法。赌博在犹他州属非法，该州一直在推进法律行动，以中止Kalshi在当地提供的产品；而CFTC主张，其联邦权限优先于州级权限。CFTC于周二表示，正请求法院叫停犹他州总检察长上周发起的执法行动，该行动意在限制Kalshi向该州居民提供赌博服务。</w:t>
      </w:r>
    </w:p>
    <w:p>
      <w:pPr>
        <w:pStyle w:val="正文内容"/>
        <w:spacing w:before="0" w:after="0" w:line="240" w:lineRule="auto"/>
        <w:ind w:left="0" w:right="0" w:firstLine="560"/>
        <w:jc w:val="both"/>
      </w:pPr>
      <w:r>
        <w:rPr>
          <w:rFonts w:ascii="Times New Roman" w:hAnsi="Times New Roman" w:cs="Times New Roman" w:eastAsia="仿宋"/>
          <w:b w:val="0"/>
          <w:sz w:val="28"/>
        </w:rPr>
        <w:t>这是CFTC针对各州的长串法院行动中新增的一起。该机构表示，其持续维护自身作为Kalshi及其他预测市场公司唯一监管机构的地位。按照CoinDesk的报道，CFTC已提起十余起法律行动，以保护其主席所认为的、该机构对预测市场拥有的唯一权力。</w:t>
      </w:r>
    </w:p>
    <w:p>
      <w:pPr>
        <w:pStyle w:val="正文内容"/>
        <w:spacing w:before="0" w:after="0" w:line="240" w:lineRule="auto"/>
        <w:ind w:left="0" w:right="0" w:firstLine="560"/>
        <w:jc w:val="both"/>
      </w:pPr>
      <w:r>
        <w:rPr>
          <w:rFonts w:ascii="Times New Roman" w:hAnsi="Times New Roman" w:cs="Times New Roman" w:eastAsia="仿宋"/>
          <w:b w:val="0"/>
          <w:sz w:val="28"/>
        </w:rPr>
        <w:t>CFTC主席Mike Selig在一份声明中表示：“事件合约（event contract）不仅服务于对冲和投资目的——它们还为公众提供有关未来事件结果的信息。”该声明还进一步为其所认为的、本机构作为预测市场唯一监管者的法律角色作出辩护。</w:t>
      </w:r>
    </w:p>
    <w:p>
      <w:pPr>
        <w:pStyle w:val="正文内容"/>
        <w:spacing w:before="0" w:after="0" w:line="240" w:lineRule="auto"/>
        <w:ind w:left="0" w:right="0" w:firstLine="560"/>
        <w:jc w:val="both"/>
      </w:pPr>
      <w:r>
        <w:rPr>
          <w:rFonts w:ascii="Times New Roman" w:hAnsi="Times New Roman" w:cs="Times New Roman" w:eastAsia="仿宋"/>
          <w:b w:val="0"/>
          <w:sz w:val="28"/>
        </w:rPr>
        <w:t>此案的背景是，犹他州迄今在联邦法院对Kalshi占据上风，因此这家联邦机构以自己的诉讼介入，CFTC于周二作出上述表示。犹他州方面的执法努力旨在限制Kalshi向该州居民提供赌博，而赌博在该州被宪法禁止。</w:t>
      </w:r>
    </w:p>
    <w:p>
      <w:pPr>
        <w:pStyle w:val="正文内容"/>
        <w:spacing w:before="0" w:after="0" w:line="240" w:lineRule="auto"/>
        <w:ind w:left="0" w:right="0" w:firstLine="560"/>
        <w:jc w:val="both"/>
      </w:pPr>
      <w:r>
        <w:rPr>
          <w:rFonts w:ascii="Times New Roman" w:hAnsi="Times New Roman" w:cs="Times New Roman" w:eastAsia="仿宋"/>
          <w:b w:val="0"/>
          <w:sz w:val="28"/>
        </w:rPr>
        <w:t>州级法律权利与联邦优先（federal preemption）之间的争议，因不同法院裁决相互冲突而变得日益复杂，Kalshi及其他预测市场公司坚定站在后者一边。三家联邦上诉法院共作出两项支持各州的裁决和一项有利于Kalshi的裁决。在犹他州，一名美国地区法院法官在一起同样处于上诉阶段的案件中支持了该州。</w:t>
      </w:r>
    </w:p>
    <w:p>
      <w:pPr>
        <w:pStyle w:val="正文内容"/>
        <w:spacing w:before="0" w:after="0" w:line="240" w:lineRule="auto"/>
        <w:ind w:left="0" w:right="0" w:firstLine="560"/>
        <w:jc w:val="both"/>
      </w:pPr>
      <w:r>
        <w:rPr>
          <w:rFonts w:ascii="Times New Roman" w:hAnsi="Times New Roman" w:cs="Times New Roman" w:eastAsia="仿宋"/>
          <w:b w:val="0"/>
          <w:sz w:val="28"/>
        </w:rPr>
        <w:t>犹他州总检察长Derek Brown上周在一份声明中表示：“任何向犹他人提供赌博的人都被提示，这在犹他州是非法的，犹他州法律也未授权此类行为。”他在该声明中还指控Kalshi经营一家在线赌场。</w:t>
      </w:r>
    </w:p>
    <w:p>
      <w:pPr>
        <w:pStyle w:val="正文内容"/>
        <w:spacing w:before="0" w:after="0" w:line="240" w:lineRule="auto"/>
        <w:ind w:left="0" w:right="0" w:firstLine="560"/>
        <w:jc w:val="both"/>
      </w:pPr>
      <w:r>
        <w:rPr>
          <w:rFonts w:ascii="Times New Roman" w:hAnsi="Times New Roman" w:cs="Times New Roman" w:eastAsia="仿宋"/>
          <w:b w:val="0"/>
          <w:sz w:val="28"/>
        </w:rPr>
        <w:t>CFTC目前正在法庭上与10个州交手，并在整个司法体系中提交法律论证；与此同时，随着唐纳德·特朗普（Donald Trump）政府寻求削减美国监管力量，该机构的法律人员编制已被削减。</w:t>
      </w:r>
    </w:p>
    <w:p>
      <w:pPr>
        <w:pStyle w:val="正文内容"/>
        <w:spacing w:before="0" w:after="0" w:line="240" w:lineRule="auto"/>
        <w:ind w:left="0" w:right="0" w:firstLine="560"/>
        <w:jc w:val="both"/>
      </w:pPr>
      <w:r>
        <w:rPr>
          <w:rFonts w:ascii="Times New Roman" w:hAnsi="Times New Roman" w:cs="Times New Roman" w:eastAsia="仿宋"/>
          <w:b w:val="0"/>
          <w:sz w:val="28"/>
        </w:rPr>
        <w:t>Selig对CFTC应有角色的看法毫不妥协，而另一位前主席、民主党人Gary Gensler则向美国最高法院提交意见书，主张Selig的解读有误，且Gensler本人曾参与推动的法律并非作此解释。Gensler在加密圈更广为人知的身份是近期卸任的美国证券交易委员会（SEC）主席；他对最高法院表示，该机构用作法律依据的《多德-弗兰克法案》（Dodd-Frank Act）“并未将体育博彩的管辖权从各州转移给CFTC”。</w:t>
      </w:r>
    </w:p>
    <w:p>
      <w:pPr>
        <w:pStyle w:val="正文内容"/>
        <w:spacing w:before="0" w:after="0" w:line="240" w:lineRule="auto"/>
        <w:ind w:left="0" w:right="0" w:firstLine="560"/>
        <w:jc w:val="both"/>
      </w:pPr>
      <w:r>
        <w:rPr>
          <w:rFonts w:ascii="Times New Roman" w:hAnsi="Times New Roman" w:cs="Times New Roman" w:eastAsia="仿宋"/>
          <w:b w:val="0"/>
          <w:sz w:val="28"/>
        </w:rPr>
        <w:t>《多德-弗兰克法案》的作者之一、前参议员Chris Dodd同样提交了一份法庭之友（amicus brief）意见书，赞同州一方的观点。</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原文标题：U.S. agency hits Utah with lawsuit to shield Kalshi's ability to offer betting there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原文链接：https://www.coindesk.com/policy/2026/10/27/u-s-agency-hits-utah-with-lawsuit-to-shield-kalshi-s-ability-to-offer-betting-there</w:t>
      </w:r>
    </w:p>
    <w:p/>
    <w:p>
      <w:pPr>
        <w:pStyle w:val="文章一级标题"/>
        <w:spacing w:before="0" w:after="0" w:line="240" w:lineRule="auto"/>
        <w:ind w:left="0" w:right="0" w:firstLine="0"/>
        <w:jc w:val="center"/>
      </w:pPr>
      <w:r>
        <w:rPr>
          <w:rFonts w:ascii="Times New Roman" w:hAnsi="Times New Roman" w:cs="Times New Roman" w:eastAsia="黑体"/>
          <w:b w:val="0"/>
          <w:sz w:val="30"/>
        </w:rPr>
        <w:t>ESMA要求欧盟加密公司停止不合规稳定币服务</w:t>
      </w:r>
    </w:p>
    <w:p>
      <w:pPr>
        <w:spacing w:before="0" w:after="0" w:line="240" w:lineRule="auto"/>
        <w:ind w:left="0" w:right="0" w:firstLine="0"/>
        <w:jc w:val="both"/>
      </w:pPr>
      <w:r>
        <w:rPr>
          <w:rFonts w:ascii="Times New Roman" w:hAnsi="Times New Roman" w:cs="Times New Roman" w:eastAsia="仿宋"/>
          <w:b w:val="0"/>
          <w:sz w:val="28"/>
        </w:rPr>
        <w:t>· 欧洲证券和市场管理局（European Securities and Markets Authority，ESMA）于10月8日发布意见，要求欧盟授权加密资产服务提供商停止涉及不符合加密资产市场法规（Markets in Crypto-Assets，MiCA）要求的资产参考代币或电子货币代币的服务。</w:t>
      </w:r>
    </w:p>
    <w:p>
      <w:pPr>
        <w:spacing w:before="0" w:after="0" w:line="240" w:lineRule="auto"/>
        <w:ind w:left="0" w:right="0" w:firstLine="0"/>
        <w:jc w:val="both"/>
      </w:pPr>
      <w:r>
        <w:rPr>
          <w:rFonts w:ascii="Times New Roman" w:hAnsi="Times New Roman" w:cs="Times New Roman" w:eastAsia="仿宋"/>
          <w:b w:val="0"/>
          <w:sz w:val="28"/>
        </w:rPr>
        <w:t>· 意见列出的需停止服务包括交易、兑换、托管、转移、订单执行、投资建议和投资组合管理；如果底层代币缺乏必要授权，这些服务须停止。</w:t>
      </w:r>
    </w:p>
    <w:p>
      <w:pPr>
        <w:spacing w:before="0" w:after="0" w:line="240" w:lineRule="auto"/>
        <w:ind w:left="0" w:right="0" w:firstLine="0"/>
        <w:jc w:val="both"/>
      </w:pPr>
      <w:r>
        <w:rPr>
          <w:rFonts w:ascii="Times New Roman" w:hAnsi="Times New Roman" w:cs="Times New Roman" w:eastAsia="仿宋"/>
          <w:b w:val="0"/>
          <w:sz w:val="28"/>
        </w:rPr>
        <w:t>· ESMA表示，该意见阐述监管预期，但未声称每个稳定币都不合规，也未在本文件中宣布对任何具名平台采取执法行动。</w:t>
      </w:r>
    </w:p>
    <w:p>
      <w:pPr>
        <w:pStyle w:val="正文内容"/>
        <w:spacing w:before="0" w:after="0" w:line="240" w:lineRule="auto"/>
        <w:ind w:left="0" w:right="0" w:firstLine="560"/>
        <w:jc w:val="both"/>
      </w:pPr>
      <w:r>
        <w:rPr>
          <w:rFonts w:ascii="Times New Roman" w:hAnsi="Times New Roman" w:cs="Times New Roman" w:eastAsia="仿宋"/>
          <w:b w:val="0"/>
          <w:sz w:val="28"/>
        </w:rPr>
        <w:t>欧洲证券和市场管理局（European Securities and Markets Authority，ESMA）于10月8日发布意见，指示欧盟授权的加密资产服务提供商停止涉及不符合加密资产市场法规（Markets in Crypto-Assets，MiCA）要求的资产参考代币或电子货币代币的服务。该监管机构表示，稳定币不需要在欧洲发行，也可能产生欧洲合规问题。</w:t>
      </w:r>
    </w:p>
    <w:p>
      <w:pPr>
        <w:pStyle w:val="正文内容"/>
        <w:spacing w:before="0" w:after="0" w:line="240" w:lineRule="auto"/>
        <w:ind w:left="0" w:right="0" w:firstLine="560"/>
        <w:jc w:val="both"/>
      </w:pPr>
      <w:r>
        <w:rPr>
          <w:rFonts w:ascii="Times New Roman" w:hAnsi="Times New Roman" w:cs="Times New Roman" w:eastAsia="仿宋"/>
          <w:b w:val="0"/>
          <w:sz w:val="28"/>
        </w:rPr>
        <w:t>该意见指示持牌公司停止向客户提供涉及不符合MiCA特定要求的代币的服务。ESMA称，这项意见的范围被刻意设定得较宽，覆盖广泛的金融活动，而不是仅限于单一类型的交易。</w:t>
      </w:r>
    </w:p>
    <w:p>
      <w:pPr>
        <w:pStyle w:val="正文内容"/>
        <w:spacing w:before="0" w:after="0" w:line="240" w:lineRule="auto"/>
        <w:ind w:left="0" w:right="0" w:firstLine="560"/>
        <w:jc w:val="both"/>
      </w:pPr>
      <w:r>
        <w:rPr>
          <w:rFonts w:ascii="Times New Roman" w:hAnsi="Times New Roman" w:cs="Times New Roman" w:eastAsia="仿宋"/>
          <w:b w:val="0"/>
          <w:sz w:val="28"/>
        </w:rPr>
        <w:t>ESMA列出的须停止服务包括交易、兑换、托管、转移、订单执行、投资建议和投资组合管理，前提是底层代币缺乏必要授权。意见指出，由于这些活动被纳入范围，交易所不一定能通过仅移除一个交易对、同时继续涉及同一资产的其他活动来解决该代币的监管问题。</w:t>
      </w:r>
    </w:p>
    <w:p>
      <w:pPr>
        <w:pStyle w:val="正文内容"/>
        <w:spacing w:before="0" w:after="0" w:line="240" w:lineRule="auto"/>
        <w:ind w:left="0" w:right="0" w:firstLine="560"/>
        <w:jc w:val="both"/>
      </w:pPr>
      <w:r>
        <w:rPr>
          <w:rFonts w:ascii="Times New Roman" w:hAnsi="Times New Roman" w:cs="Times New Roman" w:eastAsia="仿宋"/>
          <w:b w:val="0"/>
          <w:sz w:val="28"/>
        </w:rPr>
        <w:t>该意见澄清，如果相关授权和合规条件未满足，限制即适用。对于稳定币发行方，通过受监管平台分销被认定为流动性和覆盖范围的主要来源。因此，因不合规而无法进入这些平台，会影响发行方在欧盟市场有效分销其产品的能力。</w:t>
      </w:r>
    </w:p>
    <w:p>
      <w:pPr>
        <w:pStyle w:val="正文内容"/>
        <w:spacing w:before="0" w:after="0" w:line="240" w:lineRule="auto"/>
        <w:ind w:left="0" w:right="0" w:firstLine="560"/>
        <w:jc w:val="both"/>
      </w:pPr>
      <w:r>
        <w:rPr>
          <w:rFonts w:ascii="Times New Roman" w:hAnsi="Times New Roman" w:cs="Times New Roman" w:eastAsia="仿宋"/>
          <w:b w:val="0"/>
          <w:sz w:val="28"/>
        </w:rPr>
        <w:t>在这一框架下，交易所面临准入碎片化的风险。一种在其他地方广泛使用的美元挂钩资产，如果发行方未满足所需授权和合规条件，可能需要对欧盟客户实施特定限制。这形成一种情形：同一数字资产可能在某些司法管辖区可访问，但在欧盟受到限制，取决于发行方和服务提供商的监管状态。</w:t>
      </w:r>
    </w:p>
    <w:p>
      <w:pPr>
        <w:pStyle w:val="正文内容"/>
        <w:spacing w:before="0" w:after="0" w:line="240" w:lineRule="auto"/>
        <w:ind w:left="0" w:right="0" w:firstLine="560"/>
        <w:jc w:val="both"/>
      </w:pPr>
      <w:r>
        <w:rPr>
          <w:rFonts w:ascii="Times New Roman" w:hAnsi="Times New Roman" w:cs="Times New Roman" w:eastAsia="仿宋"/>
          <w:b w:val="0"/>
          <w:sz w:val="28"/>
        </w:rPr>
        <w:t>ESMA指出，该意见解释监管预期，但并未声称每个稳定币都不合规。该监管机构在本文件中没有宣布对任何具名平台采取执法行动。</w:t>
      </w:r>
    </w:p>
    <w:p>
      <w:pPr>
        <w:pStyle w:val="正文内容"/>
        <w:spacing w:before="0" w:after="0" w:line="240" w:lineRule="auto"/>
        <w:ind w:left="0" w:right="0" w:firstLine="560"/>
        <w:jc w:val="both"/>
      </w:pPr>
      <w:r>
        <w:rPr>
          <w:rFonts w:ascii="Times New Roman" w:hAnsi="Times New Roman" w:cs="Times New Roman" w:eastAsia="仿宋"/>
          <w:b w:val="0"/>
          <w:sz w:val="28"/>
        </w:rPr>
        <w:t>对公司而言，当前问题是在欧盟市场提供特定服务的法律许可，要求公司仔细将其产品对照MiCA定义的监管边界进行映射。公司必须对照监管边界梳理产品，以确保不提供涉及不合规代币的服务。</w:t>
      </w:r>
    </w:p>
    <w:p>
      <w:pPr>
        <w:pStyle w:val="正文内容"/>
        <w:spacing w:before="0" w:after="0" w:line="240" w:lineRule="auto"/>
        <w:ind w:left="0" w:right="0" w:firstLine="560"/>
        <w:jc w:val="both"/>
      </w:pPr>
      <w:r>
        <w:rPr>
          <w:rFonts w:ascii="Times New Roman" w:hAnsi="Times New Roman" w:cs="Times New Roman" w:eastAsia="仿宋"/>
          <w:b w:val="0"/>
          <w:sz w:val="28"/>
        </w:rPr>
        <w:t>消费者被建议避免将下架标题解读为某一代币已失去锚定的证据。服务提供商采取的行动基于法律合规要求，而不是该资产技术稳定性或价值发生变化。</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Currency analytics）</w:t>
      </w:r>
    </w:p>
    <w:p>
      <w:pPr>
        <w:pStyle w:val="原文信息"/>
        <w:spacing w:before="0" w:after="0" w:line="240" w:lineRule="auto"/>
        <w:ind w:left="0" w:right="0" w:firstLine="0"/>
        <w:jc w:val="left"/>
      </w:pPr>
      <w:r>
        <w:rPr>
          <w:rFonts w:ascii="Times New Roman" w:hAnsi="Times New Roman" w:cs="Times New Roman" w:eastAsia="仿宋"/>
          <w:b w:val="0"/>
          <w:sz w:val="18"/>
        </w:rPr>
        <w:t>原文标题：ESMA orders EU crypto firms to halt non-compliant stablecoin services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原文链接：https://thecurrencyanalytics.com/regulations/esma-orders-eu-crypto-firms-halt-non-compliant-stablecoin-services-2-306385</w:t>
      </w:r>
    </w:p>
    <w:p/>
    <w:p>
      <w:pPr>
        <w:pStyle w:val="文章一级标题"/>
        <w:spacing w:before="0" w:after="0" w:line="240" w:lineRule="auto"/>
        <w:ind w:left="0" w:right="0" w:firstLine="0"/>
        <w:jc w:val="center"/>
      </w:pPr>
      <w:r>
        <w:rPr>
          <w:rFonts w:ascii="Times New Roman" w:hAnsi="Times New Roman" w:cs="Times New Roman" w:eastAsia="黑体"/>
          <w:b w:val="0"/>
          <w:sz w:val="30"/>
        </w:rPr>
        <w:t>香港启动受监管的零售代币化货币市场基金24/7交易</w:t>
      </w:r>
    </w:p>
    <w:p>
      <w:pPr>
        <w:spacing w:before="0" w:after="0" w:line="240" w:lineRule="auto"/>
        <w:ind w:left="0" w:right="0" w:firstLine="0"/>
        <w:jc w:val="both"/>
      </w:pPr>
      <w:r>
        <w:rPr>
          <w:rFonts w:ascii="Times New Roman" w:hAnsi="Times New Roman" w:cs="Times New Roman" w:eastAsia="仿宋"/>
          <w:b w:val="0"/>
          <w:sz w:val="28"/>
        </w:rPr>
        <w:t>· 香港证券及期货事务监察委员会（SFC）批准了首只零售代币化货币市场基金（MMF）的24/7交易。</w:t>
      </w:r>
    </w:p>
    <w:p>
      <w:pPr>
        <w:spacing w:before="0" w:after="0" w:line="240" w:lineRule="auto"/>
        <w:ind w:left="0" w:right="0" w:firstLine="0"/>
        <w:jc w:val="both"/>
      </w:pPr>
      <w:r>
        <w:rPr>
          <w:rFonts w:ascii="Times New Roman" w:hAnsi="Times New Roman" w:cs="Times New Roman" w:eastAsia="仿宋"/>
          <w:b w:val="0"/>
          <w:sz w:val="28"/>
        </w:rPr>
        <w:t>· ChinaAMC Digital Money Market Fund 的美元与港元交易已在 PantherTrade 开始，该交易所由纳斯达克上市的数字券商富途控股（Futu Holdings）拥有。</w:t>
      </w:r>
    </w:p>
    <w:p>
      <w:pPr>
        <w:spacing w:before="0" w:after="0" w:line="240" w:lineRule="auto"/>
        <w:ind w:left="0" w:right="0" w:firstLine="0"/>
        <w:jc w:val="both"/>
      </w:pPr>
      <w:r>
        <w:rPr>
          <w:rFonts w:ascii="Times New Roman" w:hAnsi="Times New Roman" w:cs="Times New Roman" w:eastAsia="仿宋"/>
          <w:b w:val="0"/>
          <w:sz w:val="28"/>
        </w:rPr>
        <w:t>· 该代币化基金目前管理资产规模约6.6亿美元，其中约16%为零售份额类别，仅F类份额可在 PantherTrade 交易。</w:t>
      </w:r>
    </w:p>
    <w:p>
      <w:pPr>
        <w:pStyle w:val="正文内容"/>
        <w:spacing w:before="0" w:after="0" w:line="240" w:lineRule="auto"/>
        <w:ind w:left="0" w:right="0" w:firstLine="560"/>
        <w:jc w:val="both"/>
      </w:pPr>
      <w:r>
        <w:rPr>
          <w:rFonts w:ascii="Times New Roman" w:hAnsi="Times New Roman" w:cs="Times New Roman" w:eastAsia="仿宋"/>
          <w:b w:val="0"/>
          <w:sz w:val="28"/>
        </w:rPr>
        <w:t>香港证券及期货事务监察委员会（Securities and Futures Commission，SFC）已批准首只零售代币化货币市场基金（money market fund，MMF）的24/7交易。ChinaAMC Digital Money Market Fund 的美元与港元交易已在 PantherTrade 开始，PantherTrade 是一家加密交易所，由纳斯达克上市的数字券商富途控股（Futu Holdings）拥有。</w:t>
      </w:r>
    </w:p>
    <w:p>
      <w:pPr>
        <w:pStyle w:val="正文内容"/>
        <w:spacing w:before="0" w:after="0" w:line="240" w:lineRule="auto"/>
        <w:ind w:left="0" w:right="0" w:firstLine="560"/>
        <w:jc w:val="both"/>
      </w:pPr>
      <w:r>
        <w:rPr>
          <w:rFonts w:ascii="Times New Roman" w:hAnsi="Times New Roman" w:cs="Times New Roman" w:eastAsia="仿宋"/>
          <w:b w:val="0"/>
          <w:sz w:val="28"/>
        </w:rPr>
        <w:t>该代币化基金目前管理资产规模（assets under management，AUM）约6.6亿美元，其中约16%为零售份额类别，并且只有F类份额（Class F shares）可在 PantherTrade 上交易。</w:t>
      </w:r>
    </w:p>
    <w:p>
      <w:pPr>
        <w:pStyle w:val="正文内容"/>
        <w:spacing w:before="0" w:after="0" w:line="240" w:lineRule="auto"/>
        <w:ind w:left="0" w:right="0" w:firstLine="560"/>
        <w:jc w:val="both"/>
      </w:pPr>
      <w:r>
        <w:rPr>
          <w:rFonts w:ascii="Times New Roman" w:hAnsi="Times New Roman" w:cs="Times New Roman" w:eastAsia="仿宋"/>
          <w:b w:val="0"/>
          <w:sz w:val="28"/>
        </w:rPr>
        <w:t>投资者不再需要等待申购与赎回窗口，可以随时退出持仓，不过总会有成本。</w:t>
      </w:r>
    </w:p>
    <w:p>
      <w:pPr>
        <w:pStyle w:val="正文内容"/>
        <w:spacing w:before="0" w:after="0" w:line="240" w:lineRule="auto"/>
        <w:ind w:left="0" w:right="0" w:firstLine="560"/>
        <w:jc w:val="both"/>
      </w:pPr>
      <w:r>
        <w:rPr>
          <w:rFonts w:ascii="Times New Roman" w:hAnsi="Times New Roman" w:cs="Times New Roman" w:eastAsia="仿宋"/>
          <w:b w:val="0"/>
          <w:sz w:val="28"/>
        </w:rPr>
        <w:t>这些代币不能从 PantherTrade 提取，官方所有权仍保留在基金的链下登记册（off-chain register）上，因此这属于封闭回路内的订单簿（order book）交易，而不是链上代币的自由流转。</w:t>
      </w:r>
    </w:p>
    <w:p>
      <w:pPr>
        <w:pStyle w:val="正文内容"/>
        <w:spacing w:before="0" w:after="0" w:line="240" w:lineRule="auto"/>
        <w:ind w:left="0" w:right="0" w:firstLine="560"/>
        <w:jc w:val="both"/>
      </w:pPr>
      <w:r>
        <w:rPr>
          <w:rFonts w:ascii="Times New Roman" w:hAnsi="Times New Roman" w:cs="Times New Roman" w:eastAsia="仿宋"/>
          <w:b w:val="0"/>
          <w:sz w:val="28"/>
        </w:rPr>
        <w:t>SFC 在4月公布其计划时，讨论了使用代币化存款与稳定币进行结算。</w:t>
      </w:r>
    </w:p>
    <w:p>
      <w:pPr>
        <w:pStyle w:val="正文内容"/>
        <w:spacing w:before="0" w:after="0" w:line="240" w:lineRule="auto"/>
        <w:ind w:left="0" w:right="0" w:firstLine="560"/>
        <w:jc w:val="both"/>
      </w:pPr>
      <w:r>
        <w:rPr>
          <w:rFonts w:ascii="Times New Roman" w:hAnsi="Times New Roman" w:cs="Times New Roman" w:eastAsia="仿宋"/>
          <w:b w:val="0"/>
          <w:sz w:val="28"/>
        </w:rPr>
        <w:t>上个月，华夏基金（香港）开始使用汇丰（HSBC）的代币化存款能力，将代币化存款纳入基金本身。</w:t>
      </w:r>
    </w:p>
    <w:p>
      <w:pPr>
        <w:pStyle w:val="正文内容"/>
        <w:spacing w:before="0" w:after="0" w:line="240" w:lineRule="auto"/>
        <w:ind w:left="0" w:right="0" w:firstLine="560"/>
        <w:jc w:val="both"/>
      </w:pPr>
      <w:r>
        <w:rPr>
          <w:rFonts w:ascii="Times New Roman" w:hAnsi="Times New Roman" w:cs="Times New Roman" w:eastAsia="仿宋"/>
          <w:b w:val="0"/>
          <w:sz w:val="28"/>
        </w:rPr>
        <w:t>在9月，该公司还使用渣打银行（Standard Chartered）的 Anchorpoint 受监管港元稳定币，完成了一笔申购与赎回用例。</w:t>
      </w:r>
    </w:p>
    <w:p>
      <w:pPr>
        <w:pStyle w:val="正文内容"/>
        <w:spacing w:before="0" w:after="0" w:line="240" w:lineRule="auto"/>
        <w:ind w:left="0" w:right="0" w:firstLine="560"/>
        <w:jc w:val="both"/>
      </w:pPr>
      <w:r>
        <w:rPr>
          <w:rFonts w:ascii="Times New Roman" w:hAnsi="Times New Roman" w:cs="Times New Roman" w:eastAsia="仿宋"/>
          <w:b w:val="0"/>
          <w:sz w:val="28"/>
        </w:rPr>
        <w:t>香港的发牌制度允许加密交易所或虚拟资产交易平台（virtual asset trading platform，VATP）同时交易加密货币与代币化证券；在许多其他司法管辖区，交易证券需要单独的牌照。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（信息来源：Ledger Insights - blockchain for enterprise）</w:t>
      </w:r>
    </w:p>
    <w:p>
      <w:pPr>
        <w:pStyle w:val="原文信息"/>
        <w:spacing w:before="0" w:after="0" w:line="240" w:lineRule="auto"/>
        <w:ind w:left="0" w:right="0" w:firstLine="0"/>
        <w:jc w:val="left"/>
      </w:pPr>
      <w:r>
        <w:rPr>
          <w:rFonts w:ascii="Times New Roman" w:hAnsi="Times New Roman" w:cs="Times New Roman" w:eastAsia="仿宋"/>
          <w:b w:val="0"/>
          <w:sz w:val="18"/>
        </w:rPr>
        <w:t>原文标题：Hong Kong launches regulated 24/7 trading of retail tokenized money market funds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原文链接：https://www.ledgerinsights.com/hong-kong-launches-regulated-24-7-trading-of-retail-tokenized-money-market-funds/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CFBenchmarks将华尔街定价基础设施上链包括BlackRock使用的数据</w:t>
      </w:r>
    </w:p>
    <w:p>
      <w:pPr>
        <w:spacing w:before="0" w:after="0" w:line="240" w:lineRule="auto"/>
        <w:ind w:left="0" w:right="0" w:firstLine="0"/>
        <w:jc w:val="both"/>
      </w:pPr>
      <w:r>
        <w:rPr>
          <w:rFonts w:ascii="Times New Roman" w:hAnsi="Times New Roman" w:cs="Times New Roman" w:eastAsia="仿宋"/>
          <w:b w:val="0"/>
          <w:sz w:val="28"/>
        </w:rPr>
        <w:t>· CF Benchmarks 推出 CFB Oracle，将其支撑 BlackRock 比特币 ETF 和 CME Group 加密期货的定价指数提供给区块链应用。</w:t>
      </w:r>
    </w:p>
    <w:p>
      <w:pPr>
        <w:spacing w:before="0" w:after="0" w:line="240" w:lineRule="auto"/>
        <w:ind w:left="0" w:right="0" w:firstLine="0"/>
        <w:jc w:val="both"/>
      </w:pPr>
      <w:r>
        <w:rPr>
          <w:rFonts w:ascii="Times New Roman" w:hAnsi="Times New Roman" w:cs="Times New Roman" w:eastAsia="仿宋"/>
          <w:b w:val="0"/>
          <w:sz w:val="28"/>
        </w:rPr>
        <w:t>· 该服务在 Ethereum、HyperEVM 和 Robinhood Chain 上可用，数据经过数字签名，并对所有客户以相同频率发布每个指数。</w:t>
      </w:r>
    </w:p>
    <w:p>
      <w:pPr>
        <w:spacing w:before="0" w:after="0" w:line="240" w:lineRule="auto"/>
        <w:ind w:left="0" w:right="0" w:firstLine="0"/>
        <w:jc w:val="both"/>
      </w:pPr>
      <w:r>
        <w:rPr>
          <w:rFonts w:ascii="Times New Roman" w:hAnsi="Times New Roman" w:cs="Times New Roman" w:eastAsia="仿宋"/>
          <w:b w:val="0"/>
          <w:sz w:val="28"/>
        </w:rPr>
        <w:t>· Kraken 母公司 Payward 计划用该服务为即将推出的美国永续期货产品提供定价数据；该产品由 Hyperliquid 提供支持，仍在等待监管批准。</w:t>
      </w:r>
    </w:p>
    <w:p>
      <w:pPr>
        <w:pStyle w:val="正文内容"/>
        <w:spacing w:before="0" w:after="0" w:line="240" w:lineRule="auto"/>
        <w:ind w:left="0" w:right="0" w:firstLine="560"/>
        <w:jc w:val="both"/>
      </w:pPr>
      <w:r>
        <w:rPr>
          <w:rFonts w:ascii="Times New Roman" w:hAnsi="Times New Roman" w:cs="Times New Roman" w:eastAsia="仿宋"/>
          <w:b w:val="0"/>
          <w:sz w:val="28"/>
        </w:rPr>
        <w:t>CF Benchmarks 的定价指数支撑着 BlackRock 的比特币交易所交易基金（ETF）以及 CME Group 的加密期货。该公司推出名为 CFB Oracle 的服务，使区块链应用能够访问其针对加密货币、股票、债券、商品和货币的基准数据。CF Benchmarks 由 Kraken 母公司 Payward 拥有。</w:t>
      </w:r>
    </w:p>
    <w:p>
      <w:pPr>
        <w:pStyle w:val="正文内容"/>
        <w:spacing w:before="0" w:after="0" w:line="240" w:lineRule="auto"/>
        <w:ind w:left="0" w:right="0" w:firstLine="560"/>
        <w:jc w:val="both"/>
      </w:pPr>
      <w:r>
        <w:rPr>
          <w:rFonts w:ascii="Times New Roman" w:hAnsi="Times New Roman" w:cs="Times New Roman" w:eastAsia="仿宋"/>
          <w:b w:val="0"/>
          <w:sz w:val="28"/>
        </w:rPr>
        <w:t>该公司正在将其市场数据带到区块链网络，此时更多金融公司正寻求通过去中心化金融（DeFi）提供传统投资产品。该公司的想法是，让主要金融机构使用的同一套定价基础设施，可供在区块链上构建投资产品的开发者使用。</w:t>
      </w:r>
    </w:p>
    <w:p>
      <w:pPr>
        <w:pStyle w:val="正文内容"/>
        <w:spacing w:before="0" w:after="0" w:line="240" w:lineRule="auto"/>
        <w:ind w:left="0" w:right="0" w:firstLine="560"/>
        <w:jc w:val="both"/>
      </w:pPr>
      <w:r>
        <w:rPr>
          <w:rFonts w:ascii="Times New Roman" w:hAnsi="Times New Roman" w:cs="Times New Roman" w:eastAsia="仿宋"/>
          <w:b w:val="0"/>
          <w:sz w:val="28"/>
        </w:rPr>
        <w:t>CF Benchmarks 已经向传统金融市场提供此类定价数据。据该公司称，其指数被代表超过 1200 亿美元资产的产品使用。CF Benchmarks 表示，数据经过数字签名，使应用能够检查价格来自该公司且未被更改。</w:t>
      </w:r>
    </w:p>
    <w:p>
      <w:pPr>
        <w:pStyle w:val="正文内容"/>
        <w:spacing w:before="0" w:after="0" w:line="240" w:lineRule="auto"/>
        <w:ind w:left="0" w:right="0" w:firstLine="560"/>
        <w:jc w:val="both"/>
      </w:pPr>
      <w:r>
        <w:rPr>
          <w:rFonts w:ascii="Times New Roman" w:hAnsi="Times New Roman" w:cs="Times New Roman" w:eastAsia="仿宋"/>
          <w:b w:val="0"/>
          <w:sz w:val="28"/>
        </w:rPr>
        <w:t>借助 CFB Oracle，开发者可以使用这些基准来构建链上指数基金、代币化投资组合和衍生品等产品，而不必开发自己的定价系统。一个持有代币化股票的区块链基金需要可靠价格来计算其投资组合价值；一个接受代币化债券作为抵押品的借贷平台需要该数据来确定用户可借款多少，以及头寸应在何时被清算。</w:t>
      </w:r>
    </w:p>
    <w:p>
      <w:pPr>
        <w:pStyle w:val="正文内容"/>
        <w:spacing w:before="0" w:after="0" w:line="240" w:lineRule="auto"/>
        <w:ind w:left="0" w:right="0" w:firstLine="560"/>
        <w:jc w:val="both"/>
      </w:pPr>
      <w:r>
        <w:rPr>
          <w:rFonts w:ascii="Times New Roman" w:hAnsi="Times New Roman" w:cs="Times New Roman" w:eastAsia="仿宋"/>
          <w:b w:val="0"/>
          <w:sz w:val="28"/>
        </w:rPr>
        <w:t>该服务已在 Ethereum、HyperEVM 和 Robinhood Chain 上可用，并计划支持其他兼容网络。该公司还对全部客户以相同频率发布每个指数，而不是为更快的访问收费。</w:t>
      </w:r>
    </w:p>
    <w:p>
      <w:pPr>
        <w:pStyle w:val="正文内容"/>
        <w:spacing w:before="0" w:after="0" w:line="240" w:lineRule="auto"/>
        <w:ind w:left="0" w:right="0" w:firstLine="560"/>
        <w:jc w:val="both"/>
      </w:pPr>
      <w:r>
        <w:rPr>
          <w:rFonts w:ascii="Times New Roman" w:hAnsi="Times New Roman" w:cs="Times New Roman" w:eastAsia="仿宋"/>
          <w:b w:val="0"/>
          <w:sz w:val="28"/>
        </w:rPr>
        <w:t>该服务在 Payward 内部已有计划用途。Kraken 母公司打算使用 CFB Oracle 为一项即将推出的美国永续期货（perpetual futures）产品提供定价数据，该产品由 Hyperliquid 提供支持。该产品仍在等待监管批准。</w:t>
      </w:r>
    </w:p>
    <w:p>
      <w:pPr>
        <w:pStyle w:val="正文内容"/>
        <w:spacing w:before="0" w:after="0" w:line="240" w:lineRule="auto"/>
        <w:ind w:left="0" w:right="0" w:firstLine="560"/>
        <w:jc w:val="both"/>
      </w:pPr>
      <w:r>
        <w:rPr>
          <w:rFonts w:ascii="Times New Roman" w:hAnsi="Times New Roman" w:cs="Times New Roman" w:eastAsia="仿宋"/>
          <w:b w:val="0"/>
          <w:sz w:val="28"/>
        </w:rPr>
        <w:t>此次推出使 CF Benchmarks 与 Chainlink 和 Pyth 等预言机（oracle）提供商展开竞争，这些提供商已经在为去中心化交易和借贷平台提供市场数据。CFB Oracle 不会自行发行基金或处理交易。它的角色是提供这些产品运行所需的参考价格。</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原文标题：CF Benchmarks brings Wall Street pricing infrastructure onchain， including data used by BlackRock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原文链接：https://www.coindesk.com/markets/2026/10/27/cf-benchmarks-brings-wall-street-pricing-infrastructure-onchain-including-data-used-by-blackrock</w:t>
      </w:r>
    </w:p>
    <w:p/>
    <w:p>
      <w:pPr>
        <w:pStyle w:val="文章一级标题"/>
        <w:spacing w:before="0" w:after="0" w:line="240" w:lineRule="auto"/>
        <w:ind w:left="0" w:right="0" w:firstLine="0"/>
        <w:jc w:val="center"/>
      </w:pPr>
      <w:r>
        <w:rPr>
          <w:rFonts w:ascii="Times New Roman" w:hAnsi="Times New Roman" w:cs="Times New Roman" w:eastAsia="黑体"/>
          <w:b w:val="0"/>
          <w:sz w:val="30"/>
        </w:rPr>
        <w:t>JanusHenderson与Centrifuge在Stellar推出代币化纳斯达克100基金</w:t>
      </w:r>
    </w:p>
    <w:p>
      <w:pPr>
        <w:spacing w:before="0" w:after="0" w:line="240" w:lineRule="auto"/>
        <w:ind w:left="0" w:right="0" w:firstLine="0"/>
        <w:jc w:val="both"/>
      </w:pPr>
      <w:r>
        <w:rPr>
          <w:rFonts w:ascii="Times New Roman" w:hAnsi="Times New Roman" w:cs="Times New Roman" w:eastAsia="仿宋"/>
          <w:b w:val="0"/>
          <w:sz w:val="28"/>
        </w:rPr>
        <w:t>· Janus Henderson与Centrifuge在Stellar上推出一只名为JQQQ的基于区块链的基金，追踪纳斯达克-100指数，面向美国以外的合资格投资者提供该基准指数敞口。</w:t>
      </w:r>
    </w:p>
    <w:p>
      <w:pPr>
        <w:spacing w:before="0" w:after="0" w:line="240" w:lineRule="auto"/>
        <w:ind w:left="0" w:right="0" w:firstLine="0"/>
        <w:jc w:val="both"/>
      </w:pPr>
      <w:r>
        <w:rPr>
          <w:rFonts w:ascii="Times New Roman" w:hAnsi="Times New Roman" w:cs="Times New Roman" w:eastAsia="仿宋"/>
          <w:b w:val="0"/>
          <w:sz w:val="28"/>
        </w:rPr>
        <w:t>· JQQQ使用Centrifuge的代币化基础设施，并依据与纳斯达克交易所的许可协议；该基金是一家英属维尔京群岛投资公司的分离投资组合，提供间接敞口而非标的股票的所有权。</w:t>
      </w:r>
    </w:p>
    <w:p>
      <w:pPr>
        <w:spacing w:before="0" w:after="0" w:line="240" w:lineRule="auto"/>
        <w:ind w:left="0" w:right="0" w:firstLine="0"/>
        <w:jc w:val="both"/>
      </w:pPr>
      <w:r>
        <w:rPr>
          <w:rFonts w:ascii="Times New Roman" w:hAnsi="Times New Roman" w:cs="Times New Roman" w:eastAsia="仿宋"/>
          <w:b w:val="0"/>
          <w:sz w:val="28"/>
        </w:rPr>
        <w:t>· Janus Henderson表示其机构链上策略规模已超过10亿美元；按RWA.xyz的数据，Stellar以约38亿美元代币化资产在区块链中排名第四。</w:t>
      </w:r>
    </w:p>
    <w:p>
      <w:pPr>
        <w:pStyle w:val="正文内容"/>
        <w:spacing w:before="0" w:after="0" w:line="240" w:lineRule="auto"/>
        <w:ind w:left="0" w:right="0" w:firstLine="560"/>
        <w:jc w:val="both"/>
      </w:pPr>
      <w:r>
        <w:rPr>
          <w:rFonts w:ascii="Times New Roman" w:hAnsi="Times New Roman" w:cs="Times New Roman" w:eastAsia="仿宋"/>
          <w:b w:val="0"/>
          <w:sz w:val="28"/>
        </w:rPr>
        <w:t>资产管理公司Janus Henderson与代币化平台Centrifuge已在Stellar上推出一只追踪纳斯达克-100指数的基于区块链的基金，为美国以外的合资格投资者提供该基准指数的敞口。该基金名为JQQQ，使用Centrifuge的代币化基础设施，并依据与纳斯达克交易所的许可协议寻求追踪纳斯达克-100，消息来自周二发布的公告。</w:t>
      </w:r>
    </w:p>
    <w:p>
      <w:pPr>
        <w:pStyle w:val="正文内容"/>
        <w:spacing w:before="0" w:after="0" w:line="240" w:lineRule="auto"/>
        <w:ind w:left="0" w:right="0" w:firstLine="560"/>
        <w:jc w:val="both"/>
      </w:pPr>
      <w:r>
        <w:rPr>
          <w:rFonts w:ascii="Times New Roman" w:hAnsi="Times New Roman" w:cs="Times New Roman" w:eastAsia="仿宋"/>
          <w:b w:val="0"/>
          <w:sz w:val="28"/>
        </w:rPr>
        <w:t>此次推出使Janus Henderson的链上投资产品从美国国债与结构化信贷扩展至股票指数敞口。该资产管理公司表示，其机构链上策略规模现已超过10亿美元；此次推出也正值Janus Henderson扩展其机构代币化业务。</w:t>
      </w:r>
    </w:p>
    <w:p>
      <w:pPr>
        <w:pStyle w:val="正文内容"/>
        <w:spacing w:before="0" w:after="0" w:line="240" w:lineRule="auto"/>
        <w:ind w:left="0" w:right="0" w:firstLine="560"/>
        <w:jc w:val="both"/>
      </w:pPr>
      <w:r>
        <w:rPr>
          <w:rFonts w:ascii="Times New Roman" w:hAnsi="Times New Roman" w:cs="Times New Roman" w:eastAsia="仿宋"/>
          <w:b w:val="0"/>
          <w:sz w:val="28"/>
        </w:rPr>
        <w:t>JQQQ被构建为一家英属维尔京群岛投资公司的分离投资组合，提供对纳斯达克-100的间接敞口，而非对标的股票的所有权。该基金面向美国以外的合资格专业投资者；据《华尔街日报》报道，其最低投资额为10万美元。</w:t>
      </w:r>
    </w:p>
    <w:p>
      <w:pPr>
        <w:pStyle w:val="正文内容"/>
        <w:spacing w:before="0" w:after="0" w:line="240" w:lineRule="auto"/>
        <w:ind w:left="0" w:right="0" w:firstLine="560"/>
        <w:jc w:val="both"/>
      </w:pPr>
      <w:r>
        <w:rPr>
          <w:rFonts w:ascii="Times New Roman" w:hAnsi="Times New Roman" w:cs="Times New Roman" w:eastAsia="仿宋"/>
          <w:b w:val="0"/>
          <w:sz w:val="28"/>
        </w:rPr>
        <w:t>此次推出之前，纳斯达克在4月决定将其纳斯达克-100指数的许可扩大至更多资产管理公司，包括BlackRock与State Street，同时维持与Invesco的长期合作；Invesco运营着市值4990亿美元的Invesco QQQ Trust交易所交易基金。</w:t>
      </w:r>
    </w:p>
    <w:p>
      <w:pPr>
        <w:pStyle w:val="正文内容"/>
        <w:spacing w:before="0" w:after="0" w:line="240" w:lineRule="auto"/>
        <w:ind w:left="0" w:right="0" w:firstLine="560"/>
        <w:jc w:val="both"/>
      </w:pPr>
      <w:r>
        <w:rPr>
          <w:rFonts w:ascii="Times New Roman" w:hAnsi="Times New Roman" w:cs="Times New Roman" w:eastAsia="仿宋"/>
          <w:b w:val="0"/>
          <w:sz w:val="28"/>
        </w:rPr>
        <w:t>Janus Henderson的推出扩大了Stellar不断增长的代币化业务。根据RWA.xyz的数据，这条第一层区块链目前按分布式现实世界资产价值在区块链中排名第四，代币化资产约38亿美元，排在Ethereum、BNB Chain与Solana之后。</w:t>
      </w:r>
    </w:p>
    <w:p>
      <w:pPr>
        <w:pStyle w:val="正文内容"/>
        <w:spacing w:before="0" w:after="0" w:line="240" w:lineRule="auto"/>
        <w:ind w:left="0" w:right="0" w:firstLine="560"/>
        <w:jc w:val="both"/>
      </w:pPr>
      <w:r>
        <w:rPr>
          <w:rFonts w:ascii="Times New Roman" w:hAnsi="Times New Roman" w:cs="Times New Roman" w:eastAsia="仿宋"/>
          <w:b w:val="0"/>
          <w:sz w:val="28"/>
        </w:rPr>
        <w:t>该网络承载来自Spiko、Franklin Templeton与Ondo等主要发行方的代币化资产。7月，代币化平台Tradable宣布计划将最多10亿美元的私人信贷资产引入Stellar，其中5亿美元预计在启动时到位。</w:t>
      </w:r>
    </w:p>
    <w:p>
      <w:pPr>
        <w:pStyle w:val="正文内容"/>
        <w:spacing w:before="0" w:after="0" w:line="240" w:lineRule="auto"/>
        <w:ind w:left="0" w:right="0" w:firstLine="560"/>
        <w:jc w:val="both"/>
      </w:pPr>
      <w:r>
        <w:rPr>
          <w:rFonts w:ascii="Times New Roman" w:hAnsi="Times New Roman" w:cs="Times New Roman" w:eastAsia="仿宋"/>
          <w:b w:val="0"/>
          <w:sz w:val="28"/>
        </w:rPr>
        <w:t>Stellar也是Depository Trust &amp; Clearing Corporation（DTCC）计划扩展的一部分；DTCC在5月宣布将把其代币化服务连接至该网络。DTCC代币化资产预计在2027年上半年可用，可能包括美国国债、主要指数ETF与Russell 1000股票。</w:t>
      </w:r>
    </w:p>
    <w:p>
      <w:pPr>
        <w:pStyle w:val="正文内容"/>
        <w:spacing w:before="0" w:after="0" w:line="240" w:lineRule="auto"/>
        <w:ind w:left="0" w:right="0" w:firstLine="560"/>
        <w:jc w:val="both"/>
      </w:pPr>
      <w:r>
        <w:rPr>
          <w:rFonts w:ascii="Times New Roman" w:hAnsi="Times New Roman" w:cs="Times New Roman" w:eastAsia="仿宋"/>
          <w:b w:val="0"/>
          <w:sz w:val="28"/>
        </w:rPr>
        <w:t>尽管Stellar的代币化资产市场有所扩展，根据CoinGecko数据，其原生代币XLM今年迄今下跌约16%，周二交易价接近0.17美元。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原文标题：Janus Henderson， Centrifuge launch tokenized Nasdaq-100 fund on Stellar</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原文链接：https://cointelegraph.com/news/janus-henderson-centrifuge-launch-tokenized-nasdaq-100-fund-on-stellar</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BNY为合格机构提供XRP托管C2FO计划以RLUSD在XRPLedger结算</w:t>
      </w:r>
    </w:p>
    <w:p>
      <w:pPr>
        <w:spacing w:before="0" w:after="0" w:line="240" w:lineRule="auto"/>
        <w:ind w:left="0" w:right="0" w:firstLine="0"/>
        <w:jc w:val="both"/>
      </w:pPr>
      <w:r>
        <w:rPr>
          <w:rFonts w:ascii="Times New Roman" w:hAnsi="Times New Roman" w:cs="Times New Roman" w:eastAsia="仿宋"/>
          <w:b w:val="0"/>
          <w:sz w:val="28"/>
        </w:rPr>
        <w:t>· Ripple 10 月 27 日公告称，BNY 现为合格机构客户提供 XRP 与 RLUSD 稳定币托管，为持有和转移 XRP Ledger 原生代币提供另一条路径。</w:t>
      </w:r>
    </w:p>
    <w:p>
      <w:pPr>
        <w:spacing w:before="0" w:after="0" w:line="240" w:lineRule="auto"/>
        <w:ind w:left="0" w:right="0" w:firstLine="0"/>
        <w:jc w:val="both"/>
      </w:pPr>
      <w:r>
        <w:rPr>
          <w:rFonts w:ascii="Times New Roman" w:hAnsi="Times New Roman" w:cs="Times New Roman" w:eastAsia="仿宋"/>
          <w:b w:val="0"/>
          <w:sz w:val="28"/>
        </w:rPr>
        <w:t>· 公告未点名任何已注资的 XRP 托管客户，也未披露 XRP 余额或增量购买；把客户已有代币转入 BNY 会更换托管人，不一定创造对更多代币的需求。</w:t>
      </w:r>
    </w:p>
    <w:p>
      <w:pPr>
        <w:spacing w:before="0" w:after="0" w:line="240" w:lineRule="auto"/>
        <w:ind w:left="0" w:right="0" w:firstLine="0"/>
        <w:jc w:val="both"/>
      </w:pPr>
      <w:r>
        <w:rPr>
          <w:rFonts w:ascii="Times New Roman" w:hAnsi="Times New Roman" w:cs="Times New Roman" w:eastAsia="仿宋"/>
          <w:b w:val="0"/>
          <w:sz w:val="28"/>
        </w:rPr>
        <w:t>· C2FO 同日公布与 Ripple 的独立计划，拟把支持 C2FO Instant Pay 的融资与结算放到 XRP Ledger 并用 RLUSD 结算；启动时仅限美国、设等候名单并分阶段有限推出。</w:t>
      </w:r>
    </w:p>
    <w:p>
      <w:pPr>
        <w:pStyle w:val="正文内容"/>
        <w:spacing w:before="0" w:after="0" w:line="240" w:lineRule="auto"/>
        <w:ind w:left="0" w:right="0" w:firstLine="560"/>
        <w:jc w:val="both"/>
      </w:pPr>
      <w:r>
        <w:rPr>
          <w:rFonts w:ascii="Times New Roman" w:hAnsi="Times New Roman" w:cs="Times New Roman" w:eastAsia="仿宋"/>
          <w:b w:val="0"/>
          <w:sz w:val="28"/>
        </w:rPr>
        <w:t>Ripple 10 月 27 日公告称，BNY 现为合格机构客户提供 XRP 与 RLUSD 托管；同日 C2FO 公布以 RLUSD 在 XRP Ledger 结算的独立计划。</w:t>
      </w:r>
    </w:p>
    <w:p>
      <w:pPr>
        <w:pStyle w:val="正文内容"/>
        <w:spacing w:before="0" w:after="0" w:line="240" w:lineRule="auto"/>
        <w:ind w:left="0" w:right="0" w:firstLine="560"/>
        <w:jc w:val="both"/>
      </w:pPr>
      <w:r>
        <w:rPr>
          <w:rFonts w:ascii="Times New Roman" w:hAnsi="Times New Roman" w:cs="Times New Roman" w:eastAsia="仿宋"/>
          <w:b w:val="0"/>
          <w:sz w:val="28"/>
        </w:rPr>
        <w:t>Ripple 在 10 月 27 日的公告称，BNY 现为合格机构客户提供 XRP 与 RLUSD 稳定币的托管支持，使机构多一种持有和转移 XRP Ledger 原生代币的方式。该服务提供一条保管资产并管理其操作的银行路径。BNY 称其平台把托管与结算、会计和服务连接起来。公告没有点名任何已注资的 XRP 托管客户，也没有披露 XRP 余额或增量购买。</w:t>
      </w:r>
    </w:p>
    <w:p>
      <w:pPr>
        <w:pStyle w:val="正文内容"/>
        <w:spacing w:before="0" w:after="0" w:line="240" w:lineRule="auto"/>
        <w:ind w:left="0" w:right="0" w:firstLine="560"/>
        <w:jc w:val="both"/>
      </w:pPr>
      <w:r>
        <w:rPr>
          <w:rFonts w:ascii="Times New Roman" w:hAnsi="Times New Roman" w:cs="Times New Roman" w:eastAsia="仿宋"/>
          <w:b w:val="0"/>
          <w:sz w:val="28"/>
        </w:rPr>
        <w:t>公告称，BNY 的 XRP 托管支持转账和客户配置，但没有披露余额或新购买。把客户已经持有的代币转移到 BNY，会更换托管人，却不一定创造对更多代币的需求。最清晰的服务使用证据，是 XRP 被存入已注资的客户托管账户；但 BNY 的余额只能回答需求问题的一部分，因为它显示代币被放在那里，却仍留下这些代币如何获得的问题。</w:t>
      </w:r>
    </w:p>
    <w:p>
      <w:pPr>
        <w:pStyle w:val="正文内容"/>
        <w:spacing w:before="0" w:after="0" w:line="240" w:lineRule="auto"/>
        <w:ind w:left="0" w:right="0" w:firstLine="560"/>
        <w:jc w:val="both"/>
      </w:pPr>
      <w:r>
        <w:rPr>
          <w:rFonts w:ascii="Times New Roman" w:hAnsi="Times New Roman" w:cs="Times New Roman" w:eastAsia="仿宋"/>
          <w:b w:val="0"/>
          <w:sz w:val="28"/>
        </w:rPr>
        <w:t>BNY 表示，其一般托管平台使用隔离钱包、操作控制和监督，并把数字资产与传统资产放在同一环境中进行结算、会计和服务，这可以简化对账和资产管理。这些功能处理的是机构决定持有资产之后如何管理该资产，并可能减少操作摩擦。可是，仅有托管可用性，并不能确立每家机构都拥有获取 XRP 的授权、审批或意愿。公告和 BNY 的平台说明都没有给出针对 XRP 的合格客户或司法管辖区名单。BNY 称账户、产品和服务可用性因客户和地点而异。</w:t>
      </w:r>
    </w:p>
    <w:p>
      <w:pPr>
        <w:pStyle w:val="正文内容"/>
        <w:spacing w:before="0" w:after="0" w:line="240" w:lineRule="auto"/>
        <w:ind w:left="0" w:right="0" w:firstLine="560"/>
        <w:jc w:val="both"/>
      </w:pPr>
      <w:r>
        <w:rPr>
          <w:rFonts w:ascii="Times New Roman" w:hAnsi="Times New Roman" w:cs="Times New Roman" w:eastAsia="仿宋"/>
          <w:b w:val="0"/>
          <w:sz w:val="28"/>
        </w:rPr>
        <w:t>BNY 在 10 月 8 日的欧洲托管扩展面向部分机构。该较早公告没有确立 XRP 服务在欧盟范围内的具体可用性，因此 BNY 的地理存在不能被当作新 XRP 服务可访问地点的地图。BNY 与 Ripple 的关系此前已覆盖数字金融的不同层面：2025 年 7 月 9 日，BNY 被宣布为 RLUSD 的主要储备托管人，涉及支持该稳定币的储备资产和现金；10 月 27 日的发布还提到 BNY 与 Ripple Prime 的托管关系。</w:t>
      </w:r>
    </w:p>
    <w:p>
      <w:pPr>
        <w:pStyle w:val="正文内容"/>
        <w:spacing w:before="0" w:after="0" w:line="240" w:lineRule="auto"/>
        <w:ind w:left="0" w:right="0" w:firstLine="560"/>
        <w:jc w:val="both"/>
      </w:pPr>
      <w:r>
        <w:rPr>
          <w:rFonts w:ascii="Times New Roman" w:hAnsi="Times New Roman" w:cs="Times New Roman" w:eastAsia="仿宋"/>
          <w:b w:val="0"/>
          <w:sz w:val="28"/>
        </w:rPr>
        <w:t>如果一家机构已经在另一托管人处持有 XRP，把该头寸转移到 BNY，可能提高 BNY 报告的 XRP 持有量，却没有额外的市场购买；同一批代币只是有了新的托管安排。客户为新的配置而获取更多 XRP，则是另一项发展。把托管增长与这类获取联系起来，会显示服务伴随额外买入；而要确立 BNY 的新准入导致了购买，还需要进一步联系到客户的投资决策。即使以美元计价的托管总额增长也需谨慎：更高的代币价格可以抬高所持资产价值，却不增加 XRP 数量。代币余额与新增获取的证据放在一起，比单看托管估值更有信息量。</w:t>
      </w:r>
    </w:p>
    <w:p>
      <w:pPr>
        <w:pStyle w:val="正文内容"/>
        <w:spacing w:before="0" w:after="0" w:line="240" w:lineRule="auto"/>
        <w:ind w:left="0" w:right="0" w:firstLine="560"/>
        <w:jc w:val="both"/>
      </w:pPr>
      <w:r>
        <w:rPr>
          <w:rFonts w:ascii="Times New Roman" w:hAnsi="Times New Roman" w:cs="Times New Roman" w:eastAsia="仿宋"/>
          <w:b w:val="0"/>
          <w:sz w:val="28"/>
        </w:rPr>
        <w:t>客户托管支持也没有依据把 BNY 视为替自身资产负债表买入 XRP 的买家。提供保管的银行与决定获取代币的客户是不同参与者，也是不同决策。C2FO 是一家帮助企业对已批准发票获得提前付款的营运资金平台，它在 10 月 27 日宣布与 Ripple 的独立计划。两家公司计划把支持 C2FO Instant Pay 的融资和结算带到 XRP Ledger，并使用 RLUSD 进行结算。该计划旨在缩短提前付款安排后的结算延迟，相关后续问题在于该服务在结算资产为 RLUSD 时需要多少 XRP 来运行。</w:t>
      </w:r>
    </w:p>
    <w:p>
      <w:pPr>
        <w:pStyle w:val="正文内容"/>
        <w:spacing w:before="0" w:after="0" w:line="240" w:lineRule="auto"/>
        <w:ind w:left="0" w:right="0" w:firstLine="560"/>
        <w:jc w:val="both"/>
      </w:pPr>
      <w:r>
        <w:rPr>
          <w:rFonts w:ascii="Times New Roman" w:hAnsi="Times New Roman" w:cs="Times New Roman" w:eastAsia="仿宋"/>
          <w:b w:val="0"/>
          <w:sz w:val="28"/>
        </w:rPr>
        <w:t>C2FO 的历史营运资金活动描述的是现有提前付款项目，而不是已在 XRPL 上结算的 Instant Pay 已验证交易量。Instant Pay 产品页面列出推广限制：企业可以加入等候名单，访问将在未来数月通过有限推广扩大，且该服务启动时仅在美国提供。这些推广资格使实际采用和结算量仍成为有待观察的发展。Ripple 与 BNY 表示，他们正在研究一项 C2FO 供应链融资计划，意在扩大投资者对已批准应收款的访问，但须符合客户要求。他们还打算扩大对 XRPL 发行资产的支持，并努力为 BNY 客户实现直接的 RLUSD 铸造和赎回。</w:t>
      </w:r>
    </w:p>
    <w:p>
      <w:pPr>
        <w:pStyle w:val="正文内容"/>
        <w:spacing w:before="0" w:after="0" w:line="240" w:lineRule="auto"/>
        <w:ind w:left="0" w:right="0" w:firstLine="560"/>
        <w:jc w:val="both"/>
      </w:pPr>
      <w:r>
        <w:rPr>
          <w:rFonts w:ascii="Times New Roman" w:hAnsi="Times New Roman" w:cs="Times New Roman" w:eastAsia="仿宋"/>
          <w:b w:val="0"/>
          <w:sz w:val="28"/>
        </w:rPr>
        <w:t>这些计划并不确立发票本金会被购买或以 XRP 持有，也不确立拟议的 BNY 铸造、赎回和融资服务已经启动。XRP Ledger 的交易成本文档列出，标准交易的当前最低费用为 10 drops，在负载下可能上升，且费用会被销毁。其储备文档列出 1 XRP 基础储备，以及每个符合条件的自有账本项目通常 0.2 XRP，并存在例外。这些要求不会随以 RLUSD 结算的发票本金按美元等比例上升。任何与 C2FO 相关的更大 XRP 流动性或库存要求，都需要关于该服务实际如何运行的单独证据。</w:t>
      </w:r>
    </w:p>
    <w:p>
      <w:pPr>
        <w:pStyle w:val="正文内容"/>
        <w:spacing w:before="0" w:after="0" w:line="240" w:lineRule="auto"/>
        <w:ind w:left="0" w:right="0" w:firstLine="560"/>
        <w:jc w:val="both"/>
      </w:pPr>
      <w:r>
        <w:rPr>
          <w:rFonts w:ascii="Times New Roman" w:hAnsi="Times New Roman" w:cs="Times New Roman" w:eastAsia="仿宋"/>
          <w:b w:val="0"/>
          <w:sz w:val="28"/>
        </w:rPr>
        <w:t>已注资的 XRP 余额和客户额外获取的证据，将显示机构如何使用 BNY 新近提供的托管。C2FO 的推广和结算活动，则会回答一个关于账本使用的单独问题。对 XRP 持有者而言，每一项都比把一项服务的可用性当作代币购买的衡量标准更有信息量。</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原文标题：BNY offers XRP custody， but only 1 rollout type exists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原文链接：https://cryptoslate.com/bny-offers-xrp-custody-but-only-1-rollout-type-exists/</w:t>
      </w:r>
    </w:p>
    <w:p/>
    <w:p>
      <w:pPr>
        <w:pStyle w:val="文章一级标题"/>
        <w:spacing w:before="0" w:after="0" w:line="240" w:lineRule="auto"/>
        <w:ind w:left="0" w:right="0" w:firstLine="0"/>
        <w:jc w:val="center"/>
      </w:pPr>
      <w:r>
        <w:rPr>
          <w:rFonts w:ascii="Times New Roman" w:hAnsi="Times New Roman" w:cs="Times New Roman" w:eastAsia="黑体"/>
          <w:b w:val="0"/>
          <w:sz w:val="30"/>
        </w:rPr>
        <w:t>巴西企业在选举日转向稳定币以规避货币暴跌</w:t>
      </w:r>
    </w:p>
    <w:p>
      <w:pPr>
        <w:spacing w:before="0" w:after="0" w:line="240" w:lineRule="auto"/>
        <w:ind w:left="0" w:right="0" w:firstLine="0"/>
        <w:jc w:val="both"/>
      </w:pPr>
      <w:r>
        <w:rPr>
          <w:rFonts w:ascii="Times New Roman" w:hAnsi="Times New Roman" w:cs="Times New Roman" w:eastAsia="仿宋"/>
          <w:b w:val="0"/>
          <w:sz w:val="28"/>
        </w:rPr>
        <w:t>· Mercado Bitcoin选举日交易量中企业账户占78%，USDT成交额较前一周跃升近800%，比特币成交额激增865%。</w:t>
      </w:r>
    </w:p>
    <w:p>
      <w:pPr>
        <w:spacing w:before="0" w:after="0" w:line="240" w:lineRule="auto"/>
        <w:ind w:left="0" w:right="0" w:firstLine="0"/>
        <w:jc w:val="both"/>
      </w:pPr>
      <w:r>
        <w:rPr>
          <w:rFonts w:ascii="Times New Roman" w:hAnsi="Times New Roman" w:cs="Times New Roman" w:eastAsia="仿宋"/>
          <w:b w:val="0"/>
          <w:sz w:val="28"/>
        </w:rPr>
        <w:t>· 周一Ibovespa指数下跌14%，为2020年以来最差单日表现；美元兑雷亚尔上涨逾8%，为1999年以来最大单日涨幅。</w:t>
      </w:r>
    </w:p>
    <w:p>
      <w:pPr>
        <w:spacing w:before="0" w:after="0" w:line="240" w:lineRule="auto"/>
        <w:ind w:left="0" w:right="0" w:firstLine="0"/>
        <w:jc w:val="both"/>
      </w:pPr>
      <w:r>
        <w:rPr>
          <w:rFonts w:ascii="Times New Roman" w:hAnsi="Times New Roman" w:cs="Times New Roman" w:eastAsia="仿宋"/>
          <w:b w:val="0"/>
          <w:sz w:val="28"/>
        </w:rPr>
        <w:t>· Biscoint数据显示，周一USDT与USDC合计成交额达18.4亿雷亚尔（3.5亿美元），较前一周高65%；比特币交易量升至1，336 BTC。</w:t>
      </w:r>
    </w:p>
    <w:p>
      <w:pPr>
        <w:pStyle w:val="正文内容"/>
        <w:spacing w:before="0" w:after="0" w:line="240" w:lineRule="auto"/>
        <w:ind w:left="0" w:right="0" w:firstLine="560"/>
        <w:jc w:val="both"/>
      </w:pPr>
      <w:r>
        <w:rPr>
          <w:rFonts w:ascii="Times New Roman" w:hAnsi="Times New Roman" w:cs="Times New Roman" w:eastAsia="仿宋"/>
          <w:b w:val="0"/>
          <w:sz w:val="28"/>
        </w:rPr>
        <w:t>巴西公司周日涌入加密市场，以保护其资金免受选举结果冲击；企业账户占Mercado Bitcoin当日交易量的78%，USDT成交额较前一周跃升近800%。</w:t>
      </w:r>
    </w:p>
    <w:p>
      <w:pPr>
        <w:pStyle w:val="正文内容"/>
        <w:spacing w:before="0" w:after="0" w:line="240" w:lineRule="auto"/>
        <w:ind w:left="0" w:right="0" w:firstLine="560"/>
        <w:jc w:val="both"/>
      </w:pPr>
      <w:r>
        <w:rPr>
          <w:rFonts w:ascii="Times New Roman" w:hAnsi="Times New Roman" w:cs="Times New Roman" w:eastAsia="仿宋"/>
          <w:b w:val="0"/>
          <w:sz w:val="28"/>
        </w:rPr>
        <w:t>巴西公司周日进入加密货币交易热潮，以保护其资金免受选举结果影响；现任总统Luiz Inácio Lula da Silva（通常称Lula）意外击败Flávio Bolsonaro。Mercado Bitcoin（MB）表示，企业账户产生了该交易所78%的交易量，泰达（Tether）的美元锚定稳定币USDT成交额较前一周跃升近800%，并超过此前四个周日平均值的逾三倍；比特币（BTC）成交额较前一个周日激增865%。</w:t>
      </w:r>
    </w:p>
    <w:p>
      <w:pPr>
        <w:pStyle w:val="正文内容"/>
        <w:spacing w:before="0" w:after="0" w:line="240" w:lineRule="auto"/>
        <w:ind w:left="0" w:right="0" w:firstLine="560"/>
        <w:jc w:val="both"/>
      </w:pPr>
      <w:r>
        <w:rPr>
          <w:rFonts w:ascii="Times New Roman" w:hAnsi="Times New Roman" w:cs="Times New Roman" w:eastAsia="仿宋"/>
          <w:b w:val="0"/>
          <w:sz w:val="28"/>
        </w:rPr>
        <w:t>Mercado Bitcoin在声明中称：“成交量的主要驱动因素是为保护其资金而行动的公司。零售客户仅占交易量的22%，而MB的企业客户占周日总交易量的78%。”该交易所还表示，企业客户已知会在平台上持有最多15%的资产。</w:t>
      </w:r>
    </w:p>
    <w:p>
      <w:pPr>
        <w:pStyle w:val="正文内容"/>
        <w:spacing w:before="0" w:after="0" w:line="240" w:lineRule="auto"/>
        <w:ind w:left="0" w:right="0" w:firstLine="560"/>
        <w:jc w:val="both"/>
      </w:pPr>
      <w:r>
        <w:rPr>
          <w:rFonts w:ascii="Times New Roman" w:hAnsi="Times New Roman" w:cs="Times New Roman" w:eastAsia="仿宋"/>
          <w:b w:val="0"/>
          <w:sz w:val="28"/>
        </w:rPr>
        <w:t>Lula提出的增加社会支出和禁止在线博彩的平台，会减少税收收入，这引发外界担忧：如果他获胜，国家财政将受损，进而加大雷亚尔（real）的压力，并使借贷成本保持高位。债务上升、新的支出承诺以及增税空间有限，将使这项任务更加困难。</w:t>
      </w:r>
    </w:p>
    <w:p>
      <w:pPr>
        <w:pStyle w:val="正文内容"/>
        <w:spacing w:before="0" w:after="0" w:line="240" w:lineRule="auto"/>
        <w:ind w:left="0" w:right="0" w:firstLine="560"/>
        <w:jc w:val="both"/>
      </w:pPr>
      <w:r>
        <w:rPr>
          <w:rFonts w:ascii="Times New Roman" w:hAnsi="Times New Roman" w:cs="Times New Roman" w:eastAsia="仿宋"/>
          <w:b w:val="0"/>
          <w:sz w:val="28"/>
        </w:rPr>
        <w:t>Mercado Bitcoin研究分析师Pedro Fontes在与CoinDesk分享的分析中写道：“对投资者而言，这强化了不应只依赖雷亚尔的逻辑。”他说，在汇率压力加大的情景下，USDT和USDC等稳定币是一种简单方式，可以在任何时间、从低金额开始，将部分资产美元化。他还表示，国会中更强的反对派可能使解决财政问题的努力复杂化，从而强化对价格由全球市场决定的资产的吸引力。</w:t>
      </w:r>
    </w:p>
    <w:p>
      <w:pPr>
        <w:pStyle w:val="正文内容"/>
        <w:spacing w:before="0" w:after="0" w:line="240" w:lineRule="auto"/>
        <w:ind w:left="0" w:right="0" w:firstLine="560"/>
        <w:jc w:val="both"/>
      </w:pPr>
      <w:r>
        <w:rPr>
          <w:rFonts w:ascii="Times New Roman" w:hAnsi="Times New Roman" w:cs="Times New Roman" w:eastAsia="仿宋"/>
          <w:b w:val="0"/>
          <w:sz w:val="28"/>
        </w:rPr>
        <w:t>企业的担忧在次日成为现实：基准Ibovespa指数暴跌14%，为2020年3月以来最差表现；美元兑雷亚尔上涨逾8%，为1999年以来最大单日涨幅。Mercado Bitcoin称，企业客户在周日交易中占其总交易量的78%，零售客户仅占22%，公司寻求在传统市场关闭时对冲货币风险。</w:t>
      </w:r>
    </w:p>
    <w:p>
      <w:pPr>
        <w:pStyle w:val="正文内容"/>
        <w:spacing w:before="0" w:after="0" w:line="240" w:lineRule="auto"/>
        <w:ind w:left="0" w:right="0" w:firstLine="560"/>
        <w:jc w:val="both"/>
      </w:pPr>
      <w:r>
        <w:rPr>
          <w:rFonts w:ascii="Times New Roman" w:hAnsi="Times New Roman" w:cs="Times New Roman" w:eastAsia="仿宋"/>
          <w:b w:val="0"/>
          <w:sz w:val="28"/>
        </w:rPr>
        <w:t>三周前的反应不同：当时Bolsonaro在第一轮投票中排在Lula之前，Ibovespa指数上涨7.7%，美元兑雷亚尔贬值逾4%，因为投资者预期政府更迭和对公共支出更严格的控制。Lula的胜利使他成为巴西现代民主制度中首位在首轮排名第二、最终赢得胜利的总统候选人。</w:t>
      </w:r>
    </w:p>
    <w:p>
      <w:pPr>
        <w:pStyle w:val="正文内容"/>
        <w:spacing w:before="0" w:after="0" w:line="240" w:lineRule="auto"/>
        <w:ind w:left="0" w:right="0" w:firstLine="560"/>
        <w:jc w:val="both"/>
      </w:pPr>
      <w:r>
        <w:rPr>
          <w:rFonts w:ascii="Times New Roman" w:hAnsi="Times New Roman" w:cs="Times New Roman" w:eastAsia="仿宋"/>
          <w:b w:val="0"/>
          <w:sz w:val="28"/>
        </w:rPr>
        <w:t>这波以雷亚尔计价交易热潮并未局限于Mercado Bitcoin。追踪包括Binance和MB在内10个场所加密价格与成交量的Biscoint数据显示，最大稳定币USDT兑雷亚尔的成交额较前一个周日上升150%；第二大稳定币USDC的成交额跃升318%。</w:t>
      </w:r>
    </w:p>
    <w:p>
      <w:pPr>
        <w:pStyle w:val="正文内容"/>
        <w:spacing w:before="0" w:after="0" w:line="240" w:lineRule="auto"/>
        <w:ind w:left="0" w:right="0" w:firstLine="560"/>
        <w:jc w:val="both"/>
      </w:pPr>
      <w:r>
        <w:rPr>
          <w:rFonts w:ascii="Times New Roman" w:hAnsi="Times New Roman" w:cs="Times New Roman" w:eastAsia="仿宋"/>
          <w:b w:val="0"/>
          <w:sz w:val="28"/>
        </w:rPr>
        <w:t>涨势延续到周一：USDT与USDC合计成交额达到18.4亿雷亚尔（3.5亿美元），较前一周高65%；比特币交易量上升逾九倍，达到1，336 BTC。与此同时，其他场所的成交量下降。例如在Binance，比特币兑雷亚尔成交额上升370%，USDT/BRL市场增至三倍，而全球BTC/USDT交易对下降25%。比特币兑雷亚尔上涨9.4%，兑USDT下滑0.2%，这与投资者对选举作出反应时巴西货币重新定价的情况一致。</w:t>
      </w:r>
    </w:p>
    <w:p>
      <w:pPr>
        <w:pStyle w:val="正文内容"/>
        <w:spacing w:before="0" w:after="0" w:line="240" w:lineRule="auto"/>
        <w:ind w:left="0" w:right="0" w:firstLine="560"/>
        <w:jc w:val="both"/>
      </w:pPr>
      <w:r>
        <w:rPr>
          <w:rFonts w:ascii="Times New Roman" w:hAnsi="Times New Roman" w:cs="Times New Roman" w:eastAsia="仿宋"/>
          <w:b w:val="0"/>
          <w:sz w:val="28"/>
        </w:rPr>
        <w:t>对Bolsonaro获胜的预期也反映在预测市场中。在10月24日的预览中，Kalshi给出的胜率为84%，尽管其自己的文章称民调显示选情极其接近。Kalshi和Polymarket自4月以来在巴西被封锁。Lula在次日赢得第二轮选举；这场选举包括由Lula的前辩护律师批准、在最后时刻将投票时间延长两小时，这一做法引发争议。</w:t>
      </w:r>
    </w:p>
    <w:p>
      <w:pPr>
        <w:pStyle w:val="正文内容"/>
        <w:spacing w:before="0" w:after="0" w:line="240" w:lineRule="auto"/>
        <w:ind w:left="0" w:right="0" w:firstLine="560"/>
        <w:jc w:val="both"/>
      </w:pPr>
      <w:r>
        <w:rPr>
          <w:rFonts w:ascii="Times New Roman" w:hAnsi="Times New Roman" w:cs="Times New Roman" w:eastAsia="仿宋"/>
          <w:b w:val="0"/>
          <w:sz w:val="28"/>
        </w:rPr>
        <w:t>体育数据与技术公司TxODDS首席执行官兼联合创始人Einar Knobel在给CoinDesk的电子邮件声明中说：“（预测市场）当时交易的是第一轮结果、民调标题以及围绕它们建立的故事。”他说：“我不会把这解读为预测市场的失败。该机制用它所获得的信息做了它被设计来做的事情。”</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原文标题：Brazilian companies turned to stablecoins on election day to dodge a currency crash</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原文链接：https://www.coindesk.com/business/2026/10/27/brazilian-companies-turned-to-stablecoins-on-election-day-to-dodge-a-currency-crash</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Stacks创始人MuneebAli量子担忧已在限制比特币增长</w:t>
      </w:r>
    </w:p>
    <w:p>
      <w:pPr>
        <w:spacing w:before="0" w:after="0" w:line="240" w:lineRule="auto"/>
        <w:ind w:left="0" w:right="0" w:firstLine="0"/>
        <w:jc w:val="both"/>
      </w:pPr>
      <w:r>
        <w:rPr>
          <w:rFonts w:ascii="Times New Roman" w:hAnsi="Times New Roman" w:cs="Times New Roman" w:eastAsia="仿宋"/>
          <w:b w:val="0"/>
          <w:sz w:val="28"/>
        </w:rPr>
        <w:t>· Stacks创始人Muneeb Ali在Cointelegraph的Chain Reaction播客中表示，“由于量子担忧，比特币的增长已经存在天花板”。</w:t>
      </w:r>
    </w:p>
    <w:p>
      <w:pPr>
        <w:spacing w:before="0" w:after="0" w:line="240" w:lineRule="auto"/>
        <w:ind w:left="0" w:right="0" w:firstLine="0"/>
        <w:jc w:val="both"/>
      </w:pPr>
      <w:r>
        <w:rPr>
          <w:rFonts w:ascii="Times New Roman" w:hAnsi="Times New Roman" w:cs="Times New Roman" w:eastAsia="仿宋"/>
          <w:b w:val="0"/>
          <w:sz w:val="28"/>
        </w:rPr>
        <w:t>· Ali警告，若开发者未能在2028年前在量子抗性安全方面取得有意义的进展，比特币可能进入风险更高的时期；他以2030年作为过渡目标，并援引美国国家标准与技术研究院的指引。</w:t>
      </w:r>
    </w:p>
    <w:p>
      <w:pPr>
        <w:spacing w:before="0" w:after="0" w:line="240" w:lineRule="auto"/>
        <w:ind w:left="0" w:right="0" w:firstLine="0"/>
        <w:jc w:val="both"/>
      </w:pPr>
      <w:r>
        <w:rPr>
          <w:rFonts w:ascii="Times New Roman" w:hAnsi="Times New Roman" w:cs="Times New Roman" w:eastAsia="仿宋"/>
          <w:b w:val="0"/>
          <w:sz w:val="28"/>
        </w:rPr>
        <w:t>· Ali称量子安全威胁会波及整个加密货币行业，“如果比特币被击中，下游的所有人也会被击中”；StarkWare报告称，在为期一周的优化挑战后，研究人员把准备一笔实验性量子抗性比特币交易的估算计算成本降低了79%。</w:t>
      </w:r>
    </w:p>
    <w:p>
      <w:pPr>
        <w:pStyle w:val="正文内容"/>
        <w:spacing w:before="0" w:after="0" w:line="240" w:lineRule="auto"/>
        <w:ind w:left="0" w:right="0" w:firstLine="560"/>
        <w:jc w:val="both"/>
      </w:pPr>
      <w:r>
        <w:rPr>
          <w:rFonts w:ascii="Times New Roman" w:hAnsi="Times New Roman" w:cs="Times New Roman" w:eastAsia="仿宋"/>
          <w:b w:val="0"/>
          <w:sz w:val="28"/>
        </w:rPr>
        <w:t>Stacks创始人Muneeb Ali在Cointelegraph的Chain Reaction播客中谈比特币的量子安全挑战、2028年路线图的紧迫性，以及开发量子抗性防护的相关工作。</w:t>
      </w:r>
    </w:p>
    <w:p>
      <w:pPr>
        <w:pStyle w:val="正文内容"/>
        <w:spacing w:before="0" w:after="0" w:line="240" w:lineRule="auto"/>
        <w:ind w:left="0" w:right="0" w:firstLine="560"/>
        <w:jc w:val="both"/>
      </w:pPr>
      <w:r>
        <w:rPr>
          <w:rFonts w:ascii="Times New Roman" w:hAnsi="Times New Roman" w:cs="Times New Roman" w:eastAsia="仿宋"/>
          <w:b w:val="0"/>
          <w:sz w:val="28"/>
        </w:rPr>
        <w:t>在Cointelegraph的Chain Reaction播客中，Stacks创始人Muneeb Ali表示，围绕比特币量子安全的不确定性可能使机构投资者却步；他警告称，该网络需要一份可信的安全升级路线图，以恢复投资者信心。Stacks是一个旨在把智能合约与去中心化应用引入比特币的二层网络（layer-2，L2），Ali是该项目的联合创始人，该项目以比特币作为底层结算层。</w:t>
      </w:r>
    </w:p>
    <w:p>
      <w:pPr>
        <w:pStyle w:val="正文内容"/>
        <w:spacing w:before="0" w:after="0" w:line="240" w:lineRule="auto"/>
        <w:ind w:left="0" w:right="0" w:firstLine="560"/>
        <w:jc w:val="both"/>
      </w:pPr>
      <w:r>
        <w:rPr>
          <w:rFonts w:ascii="Times New Roman" w:hAnsi="Times New Roman" w:cs="Times New Roman" w:eastAsia="仿宋"/>
          <w:b w:val="0"/>
          <w:sz w:val="28"/>
        </w:rPr>
        <w:t>“由于量子担忧，比特币的增长已经存在天花板。”Ali在Chain Reaction播客的采访中表示。他认为，这种不确定性可能使规避风险的机构投资者推迟大额比特币买入，直到开发者建立起通往量子抗性（quantum-resistant）安全的可信路径。</w:t>
      </w:r>
    </w:p>
    <w:p>
      <w:pPr>
        <w:pStyle w:val="正文内容"/>
        <w:spacing w:before="0" w:after="0" w:line="240" w:lineRule="auto"/>
        <w:ind w:left="0" w:right="0" w:firstLine="560"/>
        <w:jc w:val="both"/>
      </w:pPr>
      <w:r>
        <w:rPr>
          <w:rFonts w:ascii="Times New Roman" w:hAnsi="Times New Roman" w:cs="Times New Roman" w:eastAsia="仿宋"/>
          <w:b w:val="0"/>
          <w:sz w:val="28"/>
        </w:rPr>
        <w:t>Ali警告，如果开发者未能在2028年前在量子抗性安全方面取得有意义的进展，比特币可能进入风险更高的时期。他说，升级通常需要数年才能实施，用户还需要额外时间把持仓迁移到新的地址。</w:t>
      </w:r>
    </w:p>
    <w:p>
      <w:pPr>
        <w:pStyle w:val="正文内容"/>
        <w:spacing w:before="0" w:after="0" w:line="240" w:lineRule="auto"/>
        <w:ind w:left="0" w:right="0" w:firstLine="560"/>
        <w:jc w:val="both"/>
      </w:pPr>
      <w:r>
        <w:rPr>
          <w:rFonts w:ascii="Times New Roman" w:hAnsi="Times New Roman" w:cs="Times New Roman" w:eastAsia="仿宋"/>
          <w:b w:val="0"/>
          <w:sz w:val="28"/>
        </w:rPr>
        <w:t>Ali以美国国家标准与技术研究院（National Institute of Standards and Technology，NIST）的指引为依据，提出2030年是过渡到量子抗性安全的目标时间。他还提出，人工智能的进步可能加速量子计算机的开发，从而可能把这一时间表提前到2029年。</w:t>
      </w:r>
    </w:p>
    <w:p>
      <w:pPr>
        <w:pStyle w:val="正文内容"/>
        <w:spacing w:before="0" w:after="0" w:line="240" w:lineRule="auto"/>
        <w:ind w:left="0" w:right="0" w:firstLine="560"/>
        <w:jc w:val="both"/>
      </w:pPr>
      <w:r>
        <w:rPr>
          <w:rFonts w:ascii="Times New Roman" w:hAnsi="Times New Roman" w:cs="Times New Roman" w:eastAsia="仿宋"/>
          <w:b w:val="0"/>
          <w:sz w:val="28"/>
        </w:rPr>
        <w:t>Ali承认，一些比特币支持者认为量子计算威胁仍然遥远，相关担忧被夸大。但他认为，关于威胁紧迫性的分歧本身就可能削弱投资者信心，尤其是在缺乏可信升级路线图的情况下。</w:t>
      </w:r>
    </w:p>
    <w:p>
      <w:pPr>
        <w:pStyle w:val="正文内容"/>
        <w:spacing w:before="0" w:after="0" w:line="240" w:lineRule="auto"/>
        <w:ind w:left="0" w:right="0" w:firstLine="560"/>
        <w:jc w:val="both"/>
      </w:pPr>
      <w:r>
        <w:rPr>
          <w:rFonts w:ascii="Times New Roman" w:hAnsi="Times New Roman" w:cs="Times New Roman" w:eastAsia="仿宋"/>
          <w:b w:val="0"/>
          <w:sz w:val="28"/>
        </w:rPr>
        <w:t>尽管存在上述担忧，Ali表示，足够强大的量子计算机更可能出自大型研究实验室，而非不知名的攻击者。他认为，考虑到潜在的法律后果，Google或Microsoft这类公司几乎没有动机利用该技术窃取比特币。</w:t>
      </w:r>
    </w:p>
    <w:p>
      <w:pPr>
        <w:pStyle w:val="正文内容"/>
        <w:spacing w:before="0" w:after="0" w:line="240" w:lineRule="auto"/>
        <w:ind w:left="0" w:right="0" w:firstLine="560"/>
        <w:jc w:val="both"/>
      </w:pPr>
      <w:r>
        <w:rPr>
          <w:rFonts w:ascii="Times New Roman" w:hAnsi="Times New Roman" w:cs="Times New Roman" w:eastAsia="仿宋"/>
          <w:b w:val="0"/>
          <w:sz w:val="28"/>
        </w:rPr>
        <w:t>Ali还表示，比特币面临的量子安全威胁会波及整个加密货币行业，即使是那些正在开发自身防护的项目也不例外。“如果比特币被击中，下游的所有人也会被击中。”他说。</w:t>
      </w:r>
    </w:p>
    <w:p>
      <w:pPr>
        <w:pStyle w:val="正文内容"/>
        <w:spacing w:before="0" w:after="0" w:line="240" w:lineRule="auto"/>
        <w:ind w:left="0" w:right="0" w:firstLine="560"/>
        <w:jc w:val="both"/>
      </w:pPr>
      <w:r>
        <w:rPr>
          <w:rFonts w:ascii="Times New Roman" w:hAnsi="Times New Roman" w:cs="Times New Roman" w:eastAsia="仿宋"/>
          <w:b w:val="0"/>
          <w:sz w:val="28"/>
        </w:rPr>
        <w:t>与此同时，开发者正在探索保护比特币免受量子攻击的途径。9月，StarkWare报告称，在一项为期一周的优化挑战之后，研究人员把准备一笔实验性量子抗性比特币交易的估算计算成本降低了79%。该方法无需对比特币的共识规则（consensus rules）作出改变，但最新的成本下降仅在基准测试（benchmark tests）中得到验证。StarkWare将这项技术称为最後手段，并继续主张把协议层升级作为更长期的解决方案。</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原文标题：Quantum fears already limiting Bitcoin’s growth， Stacks founder says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原文链接：https://cointelegraph.com/news/quantum-fears-already-limiting-bitcoins-growth-stacks-founder-says</w:t>
      </w:r>
    </w:p>
    <w:p/>
    <w:p>
      <w:pPr>
        <w:pStyle w:val="文章一级标题"/>
        <w:spacing w:before="0" w:after="0" w:line="240" w:lineRule="auto"/>
        <w:ind w:left="0" w:right="0" w:firstLine="0"/>
        <w:jc w:val="center"/>
      </w:pPr>
      <w:r>
        <w:rPr>
          <w:rFonts w:ascii="Times New Roman" w:hAnsi="Times New Roman" w:cs="Times New Roman" w:eastAsia="黑体"/>
          <w:b w:val="0"/>
          <w:sz w:val="30"/>
        </w:rPr>
        <w:t>Zcash1.25亿美元资金之争扩大TylerWinklevoss呼吁结束其“USAID”</w:t>
      </w:r>
    </w:p>
    <w:p>
      <w:pPr>
        <w:spacing w:before="0" w:after="0" w:line="240" w:lineRule="auto"/>
        <w:ind w:left="0" w:right="0" w:firstLine="0"/>
        <w:jc w:val="both"/>
      </w:pPr>
      <w:r>
        <w:rPr>
          <w:rFonts w:ascii="Times New Roman" w:hAnsi="Times New Roman" w:cs="Times New Roman" w:eastAsia="仿宋"/>
          <w:b w:val="0"/>
          <w:sz w:val="28"/>
        </w:rPr>
        <w:t>· Zcash 联合创始人 Sean Bowe 在 10 月 26 日草案中提议停止向 ZCG 的自动支付，把其 8% 区块奖励份额转入 NSM，并称 ZCG 拥有超过 1.25 亿美元资金。</w:t>
      </w:r>
    </w:p>
    <w:p>
      <w:pPr>
        <w:spacing w:before="0" w:after="0" w:line="240" w:lineRule="auto"/>
        <w:ind w:left="0" w:right="0" w:firstLine="0"/>
        <w:jc w:val="both"/>
      </w:pPr>
      <w:r>
        <w:rPr>
          <w:rFonts w:ascii="Times New Roman" w:hAnsi="Times New Roman" w:cs="Times New Roman" w:eastAsia="仿宋"/>
          <w:b w:val="0"/>
          <w:sz w:val="28"/>
        </w:rPr>
        <w:t>· Tyler Winklevoss 宣称“是时候结束 Zcash 的‘USAID’了”；Josh Swihart 主张若解散开发者基金，就同时取消 ZCG 和 coinholder 两个资金流。</w:t>
      </w:r>
    </w:p>
    <w:p>
      <w:pPr>
        <w:spacing w:before="0" w:after="0" w:line="240" w:lineRule="auto"/>
        <w:ind w:left="0" w:right="0" w:firstLine="0"/>
        <w:jc w:val="both"/>
      </w:pPr>
      <w:r>
        <w:rPr>
          <w:rFonts w:ascii="Times New Roman" w:hAnsi="Times New Roman" w:cs="Times New Roman" w:eastAsia="仿宋"/>
          <w:b w:val="0"/>
          <w:sz w:val="28"/>
        </w:rPr>
        <w:t>· Dismad 在 10 月 27 日草案中提出另一方案：2028 年减半前后把合并开发者分配从 20% 降至 10%，2032 年降至 5%，2036 年取消。</w:t>
      </w:r>
    </w:p>
    <w:p>
      <w:pPr>
        <w:pStyle w:val="正文内容"/>
        <w:spacing w:before="0" w:after="0" w:line="240" w:lineRule="auto"/>
        <w:ind w:left="0" w:right="0" w:firstLine="560"/>
        <w:jc w:val="both"/>
      </w:pPr>
      <w:r>
        <w:rPr>
          <w:rFonts w:ascii="Times New Roman" w:hAnsi="Times New Roman" w:cs="Times New Roman" w:eastAsia="仿宋"/>
          <w:b w:val="0"/>
          <w:sz w:val="28"/>
        </w:rPr>
        <w:t>Zcash 社区围绕是否停止或延长开发者补贴出现多项竞争性提案，联合创始人、Gemini 联合创始人和生态参与者公开表态。</w:t>
      </w:r>
    </w:p>
    <w:p>
      <w:pPr>
        <w:pStyle w:val="正文内容"/>
        <w:spacing w:before="0" w:after="0" w:line="240" w:lineRule="auto"/>
        <w:ind w:left="0" w:right="0" w:firstLine="560"/>
        <w:jc w:val="both"/>
      </w:pPr>
      <w:r>
        <w:rPr>
          <w:rFonts w:ascii="Times New Roman" w:hAnsi="Times New Roman" w:cs="Times New Roman" w:eastAsia="仿宋"/>
          <w:b w:val="0"/>
          <w:sz w:val="28"/>
        </w:rPr>
        <w:t>Zcash 正面临停止或延长开发者补贴的竞争性提案，围绕其资金储备的争论在投资者兴趣上升之际升温。争论在联合创始人 Sean Bowe 提议停止向 Zcash Community Grants（ZCG）自动支付后加剧；他认为该计划已控制足够资源，可在没有额外补贴的情况下资助多年开发。该提案引来 ZODL 创始人 Josh Swihart、Gemini 联合创始人 Tyler Winklevoss 等生态参与者更激进的削减要求，而一项竞争方案主张把缩减后的开发资金保留至 2036 年。此时 Zcash 临近 10 月 28 日的十周年，机构兴趣回暖和私人交易活动上升，使网络如何分配新创建的 ZEC 受到更多审视。</w:t>
      </w:r>
    </w:p>
    <w:p>
      <w:pPr>
        <w:pStyle w:val="正文内容"/>
        <w:spacing w:before="0" w:after="0" w:line="240" w:lineRule="auto"/>
        <w:ind w:left="0" w:right="0" w:firstLine="560"/>
        <w:jc w:val="both"/>
      </w:pPr>
      <w:r>
        <w:rPr>
          <w:rFonts w:ascii="Times New Roman" w:hAnsi="Times New Roman" w:cs="Times New Roman" w:eastAsia="仿宋"/>
          <w:b w:val="0"/>
          <w:sz w:val="28"/>
        </w:rPr>
        <w:t>在 10 月 26 日的草案中，Bowe 呼吁把 ZCG 占区块奖励（block rewards）的 8% 份额转入 Network Sustainability Mechanism（NSM），该协议储备最终将支持未来区块奖励。Bowe 在 X 上表示：“是时候关闭 ZCG 的资金流了。”他补充说，ZCG 拥有超过 1.25 亿美元资金，并在拟议截止前还会收到数百万美元，而该计划从来不是为管理如此规模资源而设计。</w:t>
      </w:r>
    </w:p>
    <w:p>
      <w:pPr>
        <w:pStyle w:val="正文内容"/>
        <w:spacing w:before="0" w:after="0" w:line="240" w:lineRule="auto"/>
        <w:ind w:left="0" w:right="0" w:firstLine="560"/>
        <w:jc w:val="both"/>
      </w:pPr>
      <w:r>
        <w:rPr>
          <w:rFonts w:ascii="Times New Roman" w:hAnsi="Times New Roman" w:cs="Times New Roman" w:eastAsia="仿宋"/>
          <w:b w:val="0"/>
          <w:sz w:val="28"/>
        </w:rPr>
        <w:t>这一数字基于约 91，453 枚 ZEC、880 万美元计价资产和 240 万美元未偿义务，并假设 ZEC 价格为 1，300 美元。按该估值，ZCG 的年度分配价值约 6，830 万美元，而其基于第一季度支出的年化费用为 612 万美元。Bowe 的提案将保留该计划现有资产，并不触动另外 12% 由 coinholder（持币者）控制的资金流。</w:t>
      </w:r>
    </w:p>
    <w:p>
      <w:pPr>
        <w:pStyle w:val="正文内容"/>
        <w:spacing w:before="0" w:after="0" w:line="240" w:lineRule="auto"/>
        <w:ind w:left="0" w:right="0" w:firstLine="560"/>
        <w:jc w:val="both"/>
      </w:pPr>
      <w:r>
        <w:rPr>
          <w:rFonts w:ascii="Times New Roman" w:hAnsi="Times New Roman" w:cs="Times New Roman" w:eastAsia="仿宋"/>
          <w:b w:val="0"/>
          <w:sz w:val="28"/>
        </w:rPr>
        <w:t>Maxime Desalle 则提出更进一步：完全解散 ZCG，停止批准新赠款，并在履行现有承诺后把剩余资金转给 NSM。Desalle 认为，ZCG 的治理结构让一个小型社区咨询小组影响支出，而更广泛的经济成本由 ZEC 持有者承担。他还披露自己因工作关系与大型 Zcash 矿业公司 Cypherpunk 有关联，同时坚持该提案独立于其雇佣关系。Bowe 后来表示，他个人会支持考虑转移 ZCG 现有资金，但更希望把这一决定与停止未来支付的提案分开。</w:t>
      </w:r>
    </w:p>
    <w:p>
      <w:pPr>
        <w:pStyle w:val="正文内容"/>
        <w:spacing w:before="0" w:after="0" w:line="240" w:lineRule="auto"/>
        <w:ind w:left="0" w:right="0" w:firstLine="560"/>
        <w:jc w:val="both"/>
      </w:pPr>
      <w:r>
        <w:rPr>
          <w:rFonts w:ascii="Times New Roman" w:hAnsi="Times New Roman" w:cs="Times New Roman" w:eastAsia="仿宋"/>
          <w:b w:val="0"/>
          <w:sz w:val="28"/>
        </w:rPr>
        <w:t>争论已超出 ZCG 的未来。Tyler Winklevoss 支持结束赠款安排，宣称：“是时候结束 Zcash 的‘USAID’了。”Swihart 则主张，只取消 ZCG 的分配会让底层争议无法解决。他说：“只砍掉开发者基金的一部分会是错误。如果要解散，就不要半途而废，把 ZCG 和 coinholder 两个资金流都解散。”Swihart 指出，由 coinholder 控制的计划每天获得约 216 枚 ZEC，随着加密货币升值，这会造成类似的积累问题。</w:t>
      </w:r>
    </w:p>
    <w:p>
      <w:pPr>
        <w:pStyle w:val="正文内容"/>
        <w:spacing w:before="0" w:after="0" w:line="240" w:lineRule="auto"/>
        <w:ind w:left="0" w:right="0" w:firstLine="560"/>
        <w:jc w:val="both"/>
      </w:pPr>
      <w:r>
        <w:rPr>
          <w:rFonts w:ascii="Times New Roman" w:hAnsi="Times New Roman" w:cs="Times New Roman" w:eastAsia="仿宋"/>
          <w:b w:val="0"/>
          <w:sz w:val="28"/>
        </w:rPr>
        <w:t>Swihart 提议取消两个资金流，把其分配转给 NSM，在转移剩余合格资金前履行现有赠款义务。他还建议设立一次性、经 coinholder 批准的法律防御捐赠基金，用于 Zcash 开发者。他表示：“半途而废会让持续争论和政治留有余地。市场喜欢确定性。”值得注意的是，Swihart 承认其公司 ZODL 最近获得了一笔追溯性的 coinholder 赠款，用于核心协议开发；如果该计划继续存在，ZODL 可能寻求更多资金，而他的提案将消除这一潜在资金来源。</w:t>
      </w:r>
    </w:p>
    <w:p>
      <w:pPr>
        <w:pStyle w:val="正文内容"/>
        <w:spacing w:before="0" w:after="0" w:line="240" w:lineRule="auto"/>
        <w:ind w:left="0" w:right="0" w:firstLine="560"/>
        <w:jc w:val="both"/>
      </w:pPr>
      <w:r>
        <w:rPr>
          <w:rFonts w:ascii="Times New Roman" w:hAnsi="Times New Roman" w:cs="Times New Roman" w:eastAsia="仿宋"/>
          <w:b w:val="0"/>
          <w:sz w:val="28"/>
        </w:rPr>
        <w:t>另一项替代方案来自社区贡献者 Dismad。在 10 月 27 日的草案中，Dismad 提议在 2028 年减半前后把合并开发者分配从 20% 逐步降至 10%，2032 年降至 5%，然后在 2036 年取消。该方法将保留现有治理安排，同时让开发者再获得十年逐步下降的协议资金。竞争方案因此产生显著不同结果：Bowe 将停止新的 ZCG 支付，Desalle 将解散赠款机构，Swihart 将取消整个开发者基金，Dismad 则把缩减版本延长至原定 2028 年到期之后。</w:t>
      </w:r>
    </w:p>
    <w:p>
      <w:pPr>
        <w:pStyle w:val="正文内容"/>
        <w:spacing w:before="0" w:after="0" w:line="240" w:lineRule="auto"/>
        <w:ind w:left="0" w:right="0" w:firstLine="560"/>
        <w:jc w:val="both"/>
      </w:pPr>
      <w:r>
        <w:rPr>
          <w:rFonts w:ascii="Times New Roman" w:hAnsi="Times New Roman" w:cs="Times New Roman" w:eastAsia="仿宋"/>
          <w:b w:val="0"/>
          <w:sz w:val="28"/>
        </w:rPr>
        <w:t>要求取消开发补贴的呼声上升，与 Grayscale 的看法形成对照。Grayscale 认为，过去十年由协议资助的研究使 Zcash 在技术上保持竞争力。该资产管理公司强调，Sapling、Orchard 和最近推出的 Ironwood 池等连续隐私升级，是由专门开发融资支持的改进例子。Grayscale 认为，继续投资对于扩大交易容量、为量子计算威胁做准备以及应对新出现的网络安全风险是必要的。它表示，未来创新“很可能需要来自多种来源的持续开发者财务支持”，同时需要更有效的资本配置。</w:t>
      </w:r>
    </w:p>
    <w:p>
      <w:pPr>
        <w:pStyle w:val="正文内容"/>
        <w:spacing w:before="0" w:after="0" w:line="240" w:lineRule="auto"/>
        <w:ind w:left="0" w:right="0" w:firstLine="560"/>
        <w:jc w:val="both"/>
      </w:pPr>
      <w:r>
        <w:rPr>
          <w:rFonts w:ascii="Times New Roman" w:hAnsi="Times New Roman" w:cs="Times New Roman" w:eastAsia="仿宋"/>
          <w:b w:val="0"/>
          <w:sz w:val="28"/>
        </w:rPr>
        <w:t>Zcash 的市场价值和网络活动也显著增长。据 ZecStats，ZEC 过去一年上涨约 260%，交易价格超过 1，200 美元，市值（market capitalization）超过 200 亿美元；自 2025 年初接近 60 美元以来已升值约二十倍。ZecStats 数据显示，10 月下旬 Zcash 平均每日处理约 11，300 笔交易，较一年前增加约 70%；屏蔽交易（shielded transactions）约占 62%，高于 2025 年同期的约 24%。约 496 万枚 ZEC（占已发行供应量 29%）存放在屏蔽池（shielded pools）中。Grayscale 的 Zcash 交易所交易产品（exchange-traded product，ZCSH）截至 10 月 26 日净资产约 7.08 亿美元。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原文标题：Zcash’s $125 million funding fight widens as Tyler Winklevoss calls to end its ‘USAID’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原文链接：https://cryptoslate.com/zcashs-125-million-funding-fight-widens-as-tyler-winklevoss-calls-to-end-its-usaid/</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2026-10-21 15:23 至 2026-10-28 15:23（北京时间，最近7天）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