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2024年机构加密货币对冲基金与风险投资报告</w:t>
      </w:r>
    </w:p>
    <w:p>
      <w:pPr>
        <w:spacing w:before="0" w:after="0" w:line="240" w:lineRule="auto"/>
        <w:ind w:left="0" w:right="0" w:firstLine="0"/>
        <w:jc w:val="both"/>
      </w:pPr>
      <w:r>
        <w:rPr>
          <w:rFonts w:ascii="Times New Roman" w:hAnsi="Times New Roman" w:cs="Times New Roman" w:eastAsia="仿宋"/>
          <w:b w:val="0"/>
          <w:sz w:val="28"/>
        </w:rPr>
        <w:t>· 约34%的加密专属对冲基金拥有3年以上业绩记录；56.2%的基金成立时间在1-3年之间；只有不到7.2%的基金有4年以上记录。</w:t>
      </w:r>
    </w:p>
    <w:p>
      <w:pPr>
        <w:spacing w:before="0" w:after="0" w:line="240" w:lineRule="auto"/>
        <w:ind w:left="0" w:right="0" w:firstLine="0"/>
        <w:jc w:val="both"/>
      </w:pPr>
      <w:r>
        <w:rPr>
          <w:rFonts w:ascii="Times New Roman" w:hAnsi="Times New Roman" w:cs="Times New Roman" w:eastAsia="仿宋"/>
          <w:b w:val="0"/>
          <w:sz w:val="28"/>
        </w:rPr>
        <w:t>· 2023年全球加密货币/区块链风险投资公司通过58只基金筹集了57.5亿美元，较2022年创纪录的377亿美元（262只基金）大幅下降。</w:t>
      </w:r>
    </w:p>
    <w:p>
      <w:pPr>
        <w:spacing w:before="0" w:after="0" w:line="240" w:lineRule="auto"/>
        <w:ind w:left="0" w:right="0" w:firstLine="0"/>
        <w:jc w:val="both"/>
      </w:pPr>
      <w:r>
        <w:rPr>
          <w:rFonts w:ascii="Times New Roman" w:hAnsi="Times New Roman" w:cs="Times New Roman" w:eastAsia="仿宋"/>
          <w:b w:val="0"/>
          <w:sz w:val="28"/>
        </w:rPr>
        <w:t>· 2023年，VisionTrack的加密对冲基金指数表现落后于比特币，仅约3.9%的经理人跑赢比特币。</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2024年机构加密对冲基金与风险投资报告（2024 Institutional Crypto Hedge Fund &amp; Venture Report）·2024年1月·本报告由VisionTrack（领先的数字资产买方数据平台，由Galaxy提供支持）编写。报告撰写于2024年1月17日至19日。公开研究请访问www.galaxy.com/research，VisionTrack数据库请访问visiontrack.galaxy.com。联系方式：visiontrack@galaxy.com。数据主管：Bailey York，VisionTrack。目录包含：要点、执行摘要、对冲基金、业绩、基金四分位数、资产管理规模/资金流、风险投资、融资、交易、风投交易数据、链上基金、结论与展望。</w:t>
      </w:r>
    </w:p>
    <w:p>
      <w:pPr>
        <w:pStyle w:val="正文内容"/>
        <w:spacing w:before="0" w:after="0" w:line="240" w:lineRule="auto"/>
        <w:ind w:left="0" w:right="0" w:firstLine="560"/>
        <w:jc w:val="both"/>
      </w:pPr>
      <w:r>
        <w:rPr>
          <w:rFonts w:ascii="Times New Roman" w:hAnsi="Times New Roman" w:cs="Times New Roman" w:eastAsia="仿宋"/>
          <w:b w:val="0"/>
          <w:sz w:val="28"/>
        </w:rPr>
        <w:t>关键要点（Key Takeaways）：约34%的加密货币专属对冲基金（crypto-dedicated hedge fund）拥有3年以上的业绩记录；56.2%的基金成立时间在1-3年之间。仅有不到7.2%的加密对冲基金拥有4年以上的业绩记录。2023年下半年，加密货币基本面基金（crypto fundamental fund）和量化定向基金（quant directional fund）的前两个四分位数表现优于比特币。加密对冲基金资产管理规模（AUM）在2023年第四季度跃升至约152亿美元，其中基本面策略持有114亿美元，量化定向基金持有18亿美元，市场中性基金（market neutral fund）持有19亿美元。</w:t>
      </w:r>
    </w:p>
    <w:p>
      <w:pPr>
        <w:pStyle w:val="正文内容"/>
        <w:spacing w:before="0" w:after="0" w:line="240" w:lineRule="auto"/>
        <w:ind w:left="0" w:right="0" w:firstLine="560"/>
        <w:jc w:val="both"/>
      </w:pPr>
      <w:r>
        <w:rPr>
          <w:rFonts w:ascii="Times New Roman" w:hAnsi="Times New Roman" w:cs="Times New Roman" w:eastAsia="仿宋"/>
          <w:b w:val="0"/>
          <w:sz w:val="28"/>
        </w:rPr>
        <w:t>全年所有加密对冲基金的中位数规模小幅增长，主要归因于加密货币价格升值，尽管2023年第四季度认购有所增加。年度来看，全球风险投资公司在加密货币/区块链领域于2023年通过58只基金筹集了57.5亿美元，低于2022年通过262只基金筹集的377亿美元的创纪录水平。比较加密货币风投公司（crypto venture firm）在全球风险投资筹资中所占份额时，加密基金约占全球筹资的3.53%，低于2022年12.62%的高点。加密原生公司（crypto-native firm）在2023年关闭的基金中占72%，传统投资者支持了该行业的筹资；平均每年，加密原生公司关闭81%的专门用于加密风险投资的基金。</w:t>
      </w:r>
    </w:p>
    <w:p>
      <w:pPr>
        <w:pStyle w:val="正文内容"/>
        <w:spacing w:before="0" w:after="0" w:line="240" w:lineRule="auto"/>
        <w:ind w:left="0" w:right="0" w:firstLine="560"/>
        <w:jc w:val="both"/>
      </w:pPr>
      <w:r>
        <w:rPr>
          <w:rFonts w:ascii="Times New Roman" w:hAnsi="Times New Roman" w:cs="Times New Roman" w:eastAsia="仿宋"/>
          <w:b w:val="0"/>
          <w:sz w:val="28"/>
        </w:rPr>
        <w:t>执行摘要与市场背景：加密货币总市值在2022年底以8400亿美元的流动代币价值结束。2023年，总市值增长至1.77万亿美元，实现了一年内健康的攀升。截至2022年底，比特币相对于排名前十的其他加密货币的市场主导地位约为38.43%。到2023年底，比特币的市场主导地位约为47.8%。其在前十大流动加密代币中的最高占比出现在12月6日，达51.5%，数据由CoinGecko追踪。</w:t>
      </w:r>
    </w:p>
    <w:p>
      <w:pPr>
        <w:pStyle w:val="正文内容"/>
        <w:spacing w:before="0" w:after="0" w:line="240" w:lineRule="auto"/>
        <w:ind w:left="0" w:right="0" w:firstLine="560"/>
        <w:jc w:val="both"/>
      </w:pPr>
      <w:r>
        <w:rPr>
          <w:rFonts w:ascii="Times New Roman" w:hAnsi="Times New Roman" w:cs="Times New Roman" w:eastAsia="仿宋"/>
          <w:b w:val="0"/>
          <w:sz w:val="28"/>
        </w:rPr>
        <w:t>比特币的主导涨势始于2023年第二季度末，随着美国比特币现货ETF审批进程获得动力。黑石集团（BlackRock）在6月决定申请现货BTC ETF——这是其首次申请——重新点燃了竞争，促使先前的发行人Invesco/Galaxy、ArkInvest、Fidelity、VanEck、WisdomTree、Bitwise等重新申请，推动了市场兴趣的激增。比特币回到了此前在2023年3月触及的年度高点。</w:t>
      </w:r>
    </w:p>
    <w:p>
      <w:pPr>
        <w:pStyle w:val="正文内容"/>
        <w:spacing w:before="0" w:after="0" w:line="240" w:lineRule="auto"/>
        <w:ind w:left="0" w:right="0" w:firstLine="560"/>
        <w:jc w:val="both"/>
      </w:pPr>
      <w:r>
        <w:rPr>
          <w:rFonts w:ascii="Times New Roman" w:hAnsi="Times New Roman" w:cs="Times New Roman" w:eastAsia="仿宋"/>
          <w:b w:val="0"/>
          <w:sz w:val="28"/>
        </w:rPr>
        <w:t>到2023年仲夏，许多加密基金经理在年初的大部分时间里已经完成了新服务提供商的入驻，特别是银行关系、数字资产托管人、机构质押合作伙伴和中心化加密货币交易所。由于2022年的崩盘事件在众多基金经理心中仍记忆犹新，加强运营控制是去年企业的优先事项。为策略融资的筹资活动尚未恢复，许多企业面临着一个与历史水平相比交易量和波动性较低的市场。根据VisionTrack的数据，我们估计从2022年5月到2023年12月，715家加密货币专属对冲基金中有250家关闭，接近市场的35%。</w:t>
      </w:r>
    </w:p>
    <w:p>
      <w:pPr>
        <w:pStyle w:val="正文内容"/>
        <w:spacing w:before="0" w:after="0" w:line="240" w:lineRule="auto"/>
        <w:ind w:left="0" w:right="0" w:firstLine="560"/>
        <w:jc w:val="both"/>
      </w:pPr>
      <w:r>
        <w:rPr>
          <w:rFonts w:ascii="Times New Roman" w:hAnsi="Times New Roman" w:cs="Times New Roman" w:eastAsia="仿宋"/>
          <w:b w:val="0"/>
          <w:sz w:val="28"/>
        </w:rPr>
        <w:t>对于那些没有因2022年破产而损失全部基金价值的基金经理，许多人面临着不确定的宏观环境，配置者的风险偏好降低。尽管可能有诸多论点帮助机构“从零起步”，但主动策略的信息传递效果不佳，顶级对冲基金遭遇了赎回。对于在2022年低迷期和2023年初赎回中幸存下来的基金，我们的数据显示，34.01%的加密货币专属对冲基金拥有3年以上的业绩记录，56.2%拥有1-3年的业绩记录，不到7.2%拥有4年以上的业绩记录。</w:t>
      </w:r>
    </w:p>
    <w:p>
      <w:pPr>
        <w:pStyle w:val="正文内容"/>
        <w:spacing w:before="0" w:after="0" w:line="240" w:lineRule="auto"/>
        <w:ind w:left="0" w:right="0" w:firstLine="560"/>
        <w:jc w:val="both"/>
      </w:pPr>
      <w:r>
        <w:rPr>
          <w:rFonts w:ascii="Times New Roman" w:hAnsi="Times New Roman" w:cs="Times New Roman" w:eastAsia="仿宋"/>
          <w:b w:val="0"/>
          <w:sz w:val="28"/>
        </w:rPr>
        <w:t>对于一个此前几年因基金增长而充满热情的行业，截至2023年底，根据VisionTrack的数据，排名前20的对冲基金持有约71.6%的总对冲基金资产管理规模（AUM）。2022年底这一数字约为75%。顶级基金经理的基金价值集中并不令人意外，因为许多LP会一次持有加密对冲基金数年。虽然低迷期很艰难，加密对冲基金通常有月度认购/赎回，但LP基础更常以多年投资主题对待加密对冲基金。对于行业基金经理及其投资者而言，像2022年那样的低迷期确实动摇了信心，有时甚至关乎生死存亡。</w:t>
      </w:r>
    </w:p>
    <w:p>
      <w:pPr>
        <w:pStyle w:val="正文内容"/>
        <w:spacing w:before="0" w:after="0" w:line="240" w:lineRule="auto"/>
        <w:ind w:left="0" w:right="0" w:firstLine="560"/>
        <w:jc w:val="both"/>
      </w:pPr>
      <w:r>
        <w:rPr>
          <w:rFonts w:ascii="Times New Roman" w:hAnsi="Times New Roman" w:cs="Times New Roman" w:eastAsia="仿宋"/>
          <w:b w:val="0"/>
          <w:sz w:val="28"/>
        </w:rPr>
        <w:t>基金经理不断应对批评和怀疑，所有正面新闻事件都被紧紧抓住以帮助反弹和复兴该资产类别。最黑暗的日子似乎并不遥远，反弹之年并不总是伴随着兴奋或狂热，而是验证和宽慰。年的最后几个月便是如此。尽管进入2024年批评和怀疑仍然存在，但加密领域（尤其是比特币）在精神和表现上，十多年来已被证明是法定货币的可靠替代品，保持了其价值储存的特性，并提供了革命性的数字固定供应货币体系。2023年，这一叙事得到巩固，地缘政治不确定性和银行体系动荡进一步凸显了比特币的独特价值主张。虽然无法确定地预测2024年加密资产会发生什么，但我们可以回顾过去为各种结果做准备。</w:t>
      </w:r>
    </w:p>
    <w:p>
      <w:pPr>
        <w:pStyle w:val="正文内容"/>
        <w:spacing w:before="0" w:after="0" w:line="240" w:lineRule="auto"/>
        <w:ind w:left="0" w:right="0" w:firstLine="560"/>
        <w:jc w:val="both"/>
      </w:pPr>
      <w:r>
        <w:rPr>
          <w:rFonts w:ascii="Times New Roman" w:hAnsi="Times New Roman" w:cs="Times New Roman" w:eastAsia="仿宋"/>
          <w:b w:val="0"/>
          <w:sz w:val="28"/>
        </w:rPr>
        <w:t>在相同的时间段内，VisionTrack基本面指数下跌24.71%，VisionTrack量化趋势指数下跌10.45%，但VisionTrack市场中性指数上涨1.60%。2023年下半年与2019年下半年相比，比特币的表现截然不同。2023年，比特币在秋季和初冬上涨，始于10月的强劲表现。业界称为“Uptober”（十月上涨），比特币上涨28.34%，主要受交易所交易基金（ETF）预期推动，加上比特币期权市场的伽马挤压反弹。10月，彭博社、路透社等媒体报道显示，美国证券交易委员会（SEC）与ETF申请方之间的讨论出现了积极的势头。尽管并非确定且遭遇怀疑，但10月彭博分析师James Seyffart和Eric Balchunas预计美国比特币现货ETF在2024年1月获批概率达90%，进一步激发了行业热情。</w:t>
      </w:r>
    </w:p>
    <w:p>
      <w:pPr>
        <w:pStyle w:val="正文内容"/>
        <w:spacing w:before="0" w:after="0" w:line="240" w:lineRule="auto"/>
        <w:ind w:left="0" w:right="0" w:firstLine="560"/>
        <w:jc w:val="both"/>
      </w:pPr>
      <w:r>
        <w:rPr>
          <w:rFonts w:ascii="Times New Roman" w:hAnsi="Times New Roman" w:cs="Times New Roman" w:eastAsia="仿宋"/>
          <w:b w:val="0"/>
          <w:sz w:val="28"/>
        </w:rPr>
        <w:t>考虑到VisionTrack的流动性加密对冲基金样本（以美元计净费后业绩），2023年只有约3.9%的管理人跑赢了比特币。2019年这一数字为5.9%。正如反复指出的，最大的贝塔资产会在周期开始时跑赢，而配置者在2023年已做好准备。在预期比特币主导的一年中，美国资产管理公司减少了对加密对冲基金的配置。对冲基金难以募资，因为它们在月度回报上均未能跑赢比特币和BBG Galaxy加密指数（BCGI）——许多基金的非官方基准。比特币在全年前三季度的持续强势表现，使得第四季度所有主动策略的新认购竞争加剧。为应对艰难的融资环境，一些主动管理基金策略在2023年下半年开始提供以比特币计价的份额类别（BTC-denominated share classes）以吸引投资者。</w:t>
      </w:r>
    </w:p>
    <w:p>
      <w:pPr>
        <w:pStyle w:val="正文内容"/>
        <w:spacing w:before="0" w:after="0" w:line="240" w:lineRule="auto"/>
        <w:ind w:left="0" w:right="0" w:firstLine="560"/>
        <w:jc w:val="both"/>
      </w:pPr>
      <w:r>
        <w:rPr>
          <w:rFonts w:ascii="Times New Roman" w:hAnsi="Times New Roman" w:cs="Times New Roman" w:eastAsia="仿宋"/>
          <w:b w:val="0"/>
          <w:sz w:val="28"/>
        </w:rPr>
        <w:t>纳入VisionTrack量化指数的量化趋势策略在2023年第四季度录得自2021年第一季度以来最佳季度表现，平均上涨43.75%，大幅超越此前季度。数家公司在年底最后几个月看到基金认购增加，表明流动性量化策略可能为2024年的更多募资做准备。第四季度的积极表现，尤其是11月和12月，主要受替代加密货币推动以及对美国比特币现货获批的兴奋情绪影响。截至季度末，考虑市值约10亿美元及以上的加密资产，Solana上涨401.9%，Sei上涨377.1%，Injective上涨373.3%，Avalanche上涨321.1%，Near上涨227.1%，Celestia在短短两个月内代币上市上涨301%。量化趋势和市场中性策略因流动资产的成交量和波动性回归，在主流及替代加密货币的价格上涨中处于有利位置。随着情绪持续改善，顶级叙事推动比特币创下年度新高，市场中的新叙事和兴奋情绪进一步推高价格，为许多经受过考验的管理人提供了成功的交易机会。</w:t>
      </w:r>
    </w:p>
    <w:p>
      <w:pPr>
        <w:pStyle w:val="正文内容"/>
        <w:spacing w:before="0" w:after="0" w:line="240" w:lineRule="auto"/>
        <w:ind w:left="0" w:right="0" w:firstLine="560"/>
        <w:jc w:val="both"/>
      </w:pPr>
      <w:r>
        <w:rPr>
          <w:rFonts w:ascii="Times New Roman" w:hAnsi="Times New Roman" w:cs="Times New Roman" w:eastAsia="仿宋"/>
          <w:b w:val="0"/>
          <w:sz w:val="28"/>
        </w:rPr>
        <w:t>历史上，以比特币计价（BTC-denominated）的份额类别主要用作资金管理和评估管理解决方案。投资者基础通常包括比特币矿工、高净值个人（HNWIs）、家族办公室、加密公司以及管理现有加密货币敞口的基金会。通常以便利性和更熟悉托管方案为由，主动管理团队为许多有意维持或扩大比特币持仓的投资者提供定制基金。然而在第四季度，许多基金经理将这些策略视为与单一资产比特币产品（尤其是备受期待的美国比特币现货ETF）竞争的手段，目标年化回报为比特币收益率加10-15%。根据VisionTrack数据，以比特币计价，该类基金在2023年回报率为+7.59%，为该分类提供了令人兴奋的开端，尽管样本较小。</w:t>
      </w:r>
    </w:p>
    <w:p>
      <w:pPr>
        <w:pStyle w:val="正文内容"/>
        <w:spacing w:before="0" w:after="0" w:line="240" w:lineRule="auto"/>
        <w:ind w:left="0" w:right="0" w:firstLine="560"/>
        <w:jc w:val="both"/>
      </w:pPr>
      <w:r>
        <w:rPr>
          <w:rFonts w:ascii="Times New Roman" w:hAnsi="Times New Roman" w:cs="Times New Roman" w:eastAsia="仿宋"/>
          <w:b w:val="0"/>
          <w:sz w:val="28"/>
        </w:rPr>
        <w:t>考虑满足VisionTrack指数纳入标准的加密基金策略，在2023年第四季度，VisionTrack基本面指数录得自2021年第一季度（+186.15%）以来最佳季度表现+57.85%，略低于比特币2023年第四季度回报（+58.12%）（包括早期报告估算）。值得注意的是，该基本面指数连续三个月实现两位数的月度收益，这是自2021年第一季度以来的首次，且自2018年1月以来仅出现过两次。尽管季度表现几乎超越比特币的涨势，但基本面指数仅有一次连续两个季度实现正向超收益。</w:t>
      </w:r>
    </w:p>
    <w:p>
      <w:pPr>
        <w:pStyle w:val="正文内容"/>
        <w:spacing w:before="0" w:after="0" w:line="240" w:lineRule="auto"/>
        <w:ind w:left="0" w:right="0" w:firstLine="560"/>
        <w:jc w:val="both"/>
      </w:pPr>
      <w:r>
        <w:rPr>
          <w:rFonts w:ascii="Times New Roman" w:hAnsi="Times New Roman" w:cs="Times New Roman" w:eastAsia="仿宋"/>
          <w:b w:val="0"/>
          <w:sz w:val="28"/>
        </w:rPr>
        <w:t>包括早期估算在内，2023年加密基本面策略截至12月平均回报为+85.70%，量化趋势基金平均回报+71.55%，市场中性基金平均回报14.54%。对于处于前两个四分位的基金，对冲基金基本面策略和量化策略全年业绩相近。然而，考虑下半年，量化策略在上四分位数中表现强劲。尽管大部分时间许多基金在追赶比特币，但2023年下半年，基本面策略和量化趋势策略的前两个四分位均跑赢比特币（+38.75%）。VisionTrack四分位数据：2023年全年（2023年1月至12月），综合指数平均66.57%，中位数66.54%；第一四分位&gt;350.8%；第二四分位350.8%至90.5%；第三四分位90.6%至66.5%；第四四分位&lt;17.1%。基本面指数平均85.70%，中位数81.62%；第一四分位&gt;350.8%；第二四分位350.8%至96.7%；第三四分位96.8%至81.6%；第四四分位&lt;52.2%。量化趋势指数平均71.55%，中位数75.88%；第一四分位&gt;329.2%；第二四分位329.2%至96.4%；第三四分位96.5%至75.9%；第四四分位&lt;24.5%。市场中性指数平均14.54%，中位数12.17%；第一四分位&gt;50.8%；第二四分位50.8%至18.6%；第三四分位18.7%至12.2%；第四四分位&lt;7.6%。</w:t>
      </w:r>
    </w:p>
    <w:p>
      <w:pPr>
        <w:pStyle w:val="正文内容"/>
        <w:spacing w:before="0" w:after="0" w:line="240" w:lineRule="auto"/>
        <w:ind w:left="0" w:right="0" w:firstLine="560"/>
        <w:jc w:val="both"/>
      </w:pPr>
      <w:r>
        <w:rPr>
          <w:rFonts w:ascii="Times New Roman" w:hAnsi="Times New Roman" w:cs="Times New Roman" w:eastAsia="仿宋"/>
          <w:b w:val="0"/>
          <w:sz w:val="28"/>
        </w:rPr>
        <w:t>2023年下半年（2023年7月至12月）四分位数据：综合指数平均29.69%，中位数24.91%；第一四分位&gt;124.6%；第二四分位124.6%至41.9%；第三四分位42.0%至24.9%；第四四分位&lt;8.3%。基本面指数平均36.44%，中位数33.52%；第一四分位&gt;90.0%；第二四分位90.0%至49.9%；第三四分位50.0%至33.5%；第四四分位&lt;17.3%。量化趋势指数平均33.54%，中位数28.14%；第一四分位&gt;124.6%；第二四分位124.6%至46.2%；第三四分位46.3%至28.1%；第四四分位&lt;13.5%。市场中性指数平均8.04%，中位数5.34%；第一四分位&gt;34.5%；第二四分位34.5%至9.4%；第三四分位9.5%至5.3%；第四四分位&lt;4.9%。VisionTrack不生成加密对冲基金样本的细粒度业绩排名。</w:t>
      </w:r>
    </w:p>
    <w:p>
      <w:pPr>
        <w:pStyle w:val="正文内容"/>
        <w:spacing w:before="0" w:after="0" w:line="240" w:lineRule="auto"/>
        <w:ind w:left="0" w:right="0" w:firstLine="560"/>
        <w:jc w:val="both"/>
      </w:pPr>
      <w:r>
        <w:rPr>
          <w:rFonts w:ascii="Times New Roman" w:hAnsi="Times New Roman" w:cs="Times New Roman" w:eastAsia="仿宋"/>
          <w:b w:val="0"/>
          <w:sz w:val="28"/>
        </w:rPr>
        <w:t>以下是绩效四分位数表，可为管理人和配置者提供相对于VisionTrack基金分类的风险和回报特征信息。下文分类描述了复刻VisionTrack指数所用基础方法的四类分割：综合策略（Composite）、基本策略（Fundamental）、量化方向性策略（Quant Directional）和市场中性策略（Market Neutral）。对成分组合进行了修改，以尽可能纳入历史基金业绩，包括选定的单独管理账户（SMA）。要纳入四分位数分析，基金必须报告扣除费用后的净值，并在给定时间范围内拥有完整的月度业绩详情。缺少完整月度业绩细节的加密货币基金策略将被排除在分析之外。</w:t>
      </w:r>
    </w:p>
    <w:p>
      <w:pPr>
        <w:pStyle w:val="正文内容"/>
        <w:spacing w:before="0" w:after="0" w:line="240" w:lineRule="auto"/>
        <w:ind w:left="0" w:right="0" w:firstLine="560"/>
        <w:jc w:val="both"/>
      </w:pPr>
      <w:r>
        <w:rPr>
          <w:rFonts w:ascii="Times New Roman" w:hAnsi="Times New Roman" w:cs="Times New Roman" w:eastAsia="仿宋"/>
          <w:b w:val="0"/>
          <w:sz w:val="28"/>
        </w:rPr>
        <w:t>VisionTrack加密对冲基金绩效四分位数表（数据截至2024年1月17日）显示，基本策略对冲基金（HF Fundamental）的平均资产管理规模（AUM）从2022年第一季度的4.8788亿美元逐季下降至2023年第四季度的1.5917亿美元，中等规模AUM从7919万美元降至3405万美元。市场中性策略（HF Market Neutral）平均AUM从8240万美元降至6790万美元，中等规模从5015万美元降至4000万美元。量化方向性策略（HF Quant Directional）平均AUM从4444万美元增至6719万美元，中等规模从1400万美元增至1700万美元。</w:t>
      </w:r>
    </w:p>
    <w:p>
      <w:pPr>
        <w:pStyle w:val="正文内容"/>
        <w:spacing w:before="0" w:after="0" w:line="240" w:lineRule="auto"/>
        <w:ind w:left="0" w:right="0" w:firstLine="560"/>
        <w:jc w:val="both"/>
      </w:pPr>
      <w:r>
        <w:rPr>
          <w:rFonts w:ascii="Times New Roman" w:hAnsi="Times New Roman" w:cs="Times New Roman" w:eastAsia="仿宋"/>
          <w:b w:val="0"/>
          <w:sz w:val="28"/>
        </w:rPr>
        <w:t>被动/贝塔产品持有所有机构流动性基金价值的最高份额，自VisionTrack 2021年11月开始跟踪AUM以来的最高百分比。在636.7亿美元中，约328亿美元由灰度比特币和以太坊信托持有。截至12月底，前十大被动/贝塔产品合计持有37.7亿美元AUM。对于基本策略基金，中等规模基金全年温和增长至3405万美元，为年内最高值，但与2021年初相比仍较小。量化方向性基金年末录得显著增长，中等规模为4000万美元。市场中性基金年末录得其历史最高中等规模1700万美元，这是一项值得注意的成就。</w:t>
      </w:r>
    </w:p>
    <w:p>
      <w:pPr>
        <w:pStyle w:val="正文内容"/>
        <w:spacing w:before="0" w:after="0" w:line="240" w:lineRule="auto"/>
        <w:ind w:left="0" w:right="0" w:firstLine="560"/>
        <w:jc w:val="both"/>
      </w:pPr>
      <w:r>
        <w:rPr>
          <w:rFonts w:ascii="Times New Roman" w:hAnsi="Times New Roman" w:cs="Times New Roman" w:eastAsia="仿宋"/>
          <w:b w:val="0"/>
          <w:sz w:val="28"/>
        </w:rPr>
        <w:t>尽管加密专属流动性对冲基金AUM在2023年第四季度加速增长，前20大流动性对冲基金仍持有约71.6%的总对冲基金AUM。2022年末，这一数字为75%，这是一个略微积极的信号，表明净新基金正在增长加密对冲基金市场。然而，对于在艰难的2022年和上一轮新对冲基金浪潮中竞争的头部分加密基金管理人来说，为流动性策略募资面临许多挑战。在2023年前三个季度，基金管理人难以超越被动/贝塔产品，但处于前两个四分位数的基金管理人同比确实看到了AUM增长至2023年末。</w:t>
      </w:r>
    </w:p>
    <w:p>
      <w:pPr>
        <w:pStyle w:val="正文内容"/>
        <w:spacing w:before="0" w:after="0" w:line="240" w:lineRule="auto"/>
        <w:ind w:left="0" w:right="0" w:firstLine="560"/>
        <w:jc w:val="both"/>
      </w:pPr>
      <w:r>
        <w:rPr>
          <w:rFonts w:ascii="Times New Roman" w:hAnsi="Times New Roman" w:cs="Times New Roman" w:eastAsia="仿宋"/>
          <w:b w:val="0"/>
          <w:sz w:val="28"/>
        </w:rPr>
        <w:t>VisionTrack收集的数据表明，从2023年2月到2023年9月，许多基金管理人的加密对冲基金规模持平。然而，从9月到12月，加密对冲基金总AUM从107.5亿美元增长至152.2亿美元，增幅为41.62%。基本策略增幅最大，同期从78.2亿美元增长至114.6亿美元。量化方向性策略年末约为18.1亿美元，市场中性基金增长至19.7亿美元。被动/贝塔产品包括单一资产工具和多资产指数产品，继续保持加密基金市场主导地位。从9月底到12月底，所有流动性基金策略从417.3亿美元增长至636.7亿美元。年末被动/贝塔产品约占76%。</w:t>
      </w:r>
    </w:p>
    <w:p>
      <w:pPr>
        <w:pStyle w:val="正文内容"/>
        <w:spacing w:before="0" w:after="0" w:line="240" w:lineRule="auto"/>
        <w:ind w:left="0" w:right="0" w:firstLine="560"/>
        <w:jc w:val="both"/>
      </w:pPr>
      <w:r>
        <w:rPr>
          <w:rFonts w:ascii="Times New Roman" w:hAnsi="Times New Roman" w:cs="Times New Roman" w:eastAsia="仿宋"/>
          <w:b w:val="0"/>
          <w:sz w:val="28"/>
        </w:rPr>
        <w:t>2023年，全球加密货币/区块链风险投资公司通过58只基金募集了57.5亿美元，低于2022年创纪录的262只基金募集377亿美元。从全球风险投资格局来看，所有行业风险投资基金募集总额从2022年的2986.5亿美元下降45.51%至2023年的1627.3亿美元（数据来源PitchBook）。比较加密风险公司在全球风险投资募资中的份额，加密基金约占全球募资的3.53%，低于2022年的12.62%。风险募资也低于2021年的份额（5.65%），但优于所有此前年份。</w:t>
      </w:r>
    </w:p>
    <w:p>
      <w:pPr>
        <w:pStyle w:val="正文内容"/>
        <w:spacing w:before="0" w:after="0" w:line="240" w:lineRule="auto"/>
        <w:ind w:left="0" w:right="0" w:firstLine="560"/>
        <w:jc w:val="both"/>
      </w:pPr>
      <w:r>
        <w:rPr>
          <w:rFonts w:ascii="Times New Roman" w:hAnsi="Times New Roman" w:cs="Times New Roman" w:eastAsia="仿宋"/>
          <w:b w:val="0"/>
          <w:sz w:val="28"/>
        </w:rPr>
        <w:t>2017年至2023年全球风险投资总额分别为1861.2亿、3208.2亿、2608.3亿、2335.3亿、3635.0亿、2986.5亿和1627.3亿美元；基金数分别为2400、2796、2497、2612、3365、2532和1279只。美国总额分别为468.0亿、746.9亿、740.9亿、927.0亿、1683.6亿、1728.7亿和684.0亿美元；基金数分别为630、757、742、878、1431、1234和425只。区块链/加密总额分别为5.7亿、33.0亿、26.7亿、19.5亿、205.5亿、377.0亿和57.5亿美元；基金数分别为25、46、23、33、158、262和58只。</w:t>
      </w:r>
    </w:p>
    <w:p>
      <w:pPr>
        <w:pStyle w:val="正文内容"/>
        <w:spacing w:before="0" w:after="0" w:line="240" w:lineRule="auto"/>
        <w:ind w:left="0" w:right="0" w:firstLine="560"/>
        <w:jc w:val="both"/>
      </w:pPr>
      <w:r>
        <w:rPr>
          <w:rFonts w:ascii="Times New Roman" w:hAnsi="Times New Roman" w:cs="Times New Roman" w:eastAsia="仿宋"/>
          <w:b w:val="0"/>
          <w:sz w:val="28"/>
        </w:rPr>
        <w:t>风险投资策略通常在对加密货币需求达到顶峰时募资，此时估值较高且主要加密货币表现良好。随着估值降温，机构配置和兴趣下降，加密风险策略的募资变得困难。2023年第四季度仅通过7只基金募集6.89亿美元，为2020年第三季度以来最低。2022年第二季度募集155.8亿美元，超过之后所有季度的总和。加密原生公司约占2023年关闭基金的72%，传统投资者支持了该行业的募资。按年度平均，加密原生公司关闭了81%的加密风险投资基金。2022年传统投资者获得了最大份额，加密原生公司仅占71%。考虑到前五年配置者的周期性轮动，预期加密原生公司和传统投资者将在2024年中期携带新基金重返市场。鉴于加密风险公司的跑道，这一募资周期对该行业至关重要。迄今为止，少数基金专注于后期交易，许多基金将注意力放在早期活动上。对于自2022年及2023年部署的基金，许多风险投资支持的公司将处于其公司生命周期的更后期，表明后期轮次应即将到来。</w:t>
      </w:r>
    </w:p>
    <w:p>
      <w:pPr>
        <w:pStyle w:val="正文内容"/>
        <w:spacing w:before="0" w:after="0" w:line="240" w:lineRule="auto"/>
        <w:ind w:left="0" w:right="0" w:firstLine="560"/>
        <w:jc w:val="both"/>
      </w:pPr>
      <w:r>
        <w:rPr>
          <w:rFonts w:ascii="Times New Roman" w:hAnsi="Times New Roman" w:cs="Times New Roman" w:eastAsia="仿宋"/>
          <w:b w:val="0"/>
          <w:sz w:val="28"/>
        </w:rPr>
        <w:t>为最好地帮助投资组合公司进入这一阶段，后期基金筹集以支持这些公司将是意料之中的。对于加密风险投资（Crypto Venture Capital，CVC）基金而言，这将是此类风险投资基金类型的重要一步。从历史上看，由于区块链/加密市场不如传统风险投资成熟，强制性的后期加密风险基金募集很少见。VisionTrack收集的数据发现，在过去10年筹集资金的785只加密专项风险基金中，仅有90只被命名为“基金II”、“基金III”或更高。这表明，近90%的加密专项风险基金是加密原生公司和传统投资者首次涉足加密领域的基金。</w:t>
      </w:r>
    </w:p>
    <w:p>
      <w:pPr>
        <w:pStyle w:val="正文内容"/>
        <w:spacing w:before="0" w:after="0" w:line="240" w:lineRule="auto"/>
        <w:ind w:left="0" w:right="0" w:firstLine="560"/>
        <w:jc w:val="both"/>
      </w:pPr>
      <w:r>
        <w:rPr>
          <w:rFonts w:ascii="Times New Roman" w:hAnsi="Times New Roman" w:cs="Times New Roman" w:eastAsia="仿宋"/>
          <w:b w:val="0"/>
          <w:sz w:val="28"/>
        </w:rPr>
        <w:t>2023年，根据Galaxy Research收集的数据，加密风投交易活动在1998笔交易中创造了98亿美元的交易价值。年度总额较3795笔交易的319亿美元有所下降。第四季度，惨淡的风投交易活动持续，共359笔交易，交易价值19.2亿美元。考虑到早期报告细节，2023年第四季度的交易数量是自2020年第二季度301笔以来的最低水平，自2022年第一季度峰值1331笔以来，季度交易数量逐步放缓。由于该领域的资本持续受限，基金部署能力达到上限，后期赢家正在吸收剩余基金价值。2023年第四季度，后期风投交易占交易数量的14.48%，占交易价值的15.83%。从历史来看，这是按阶段划分的季度后期交易占比最高的一次。相反，种子轮前期交易在2023年第四季度大幅下降，在359笔交易中仅有32笔。种子轮前期交易数量仅占8.91%，为2016年第一季度以来的最低水平。种子轮前期交易价值占第四季度的15.43%，低于2016年第一季度以来19.14%的季度均值。</w:t>
      </w:r>
    </w:p>
    <w:p>
      <w:pPr>
        <w:pStyle w:val="正文内容"/>
        <w:spacing w:before="0" w:after="0" w:line="240" w:lineRule="auto"/>
        <w:ind w:left="0" w:right="0" w:firstLine="560"/>
        <w:jc w:val="both"/>
      </w:pPr>
      <w:r>
        <w:rPr>
          <w:rFonts w:ascii="Times New Roman" w:hAnsi="Times New Roman" w:cs="Times New Roman" w:eastAsia="仿宋"/>
          <w:b w:val="0"/>
          <w:sz w:val="28"/>
        </w:rPr>
        <w:t>正如我们在2023年中期报告中所指出的，风投者正在利用后期交易估值并支持珍贵的投资组合公司。这一趋势在年底并未改变，因为交易活动减少，且所有交易阶段的估值保持平稳。由于加密风投融资市场在过去六个季度一直艰难，顶级投资组合公司出现更多整合并不令人意外。年度顶级交易包括Wormhole（2.25亿美元）、Line Next（1.4亿美元）、Blockstream（1.25亿美元）、LayerZero（1.2亿美元）和Worldcoin（1.15亿美元），这些基本上都是后期交易。考虑到2023年的顶级交易，只有8笔交易价值超过1亿美元。没有一笔2023年的交易在加密风投过去十年的前50名中创造创纪录的交易价值。简而言之，风投交易活动远未达到历史水平。</w:t>
      </w:r>
    </w:p>
    <w:p>
      <w:pPr>
        <w:pStyle w:val="正文内容"/>
        <w:spacing w:before="0" w:after="0" w:line="240" w:lineRule="auto"/>
        <w:ind w:left="0" w:right="0" w:firstLine="560"/>
        <w:jc w:val="both"/>
      </w:pPr>
      <w:r>
        <w:rPr>
          <w:rFonts w:ascii="Times New Roman" w:hAnsi="Times New Roman" w:cs="Times New Roman" w:eastAsia="仿宋"/>
          <w:b w:val="0"/>
          <w:sz w:val="28"/>
        </w:rPr>
        <w:t>加密风投交易的中位交易规模从第三季度的325万美元下降到第四季度的300万美元。对于所有交易，自2016年以来的历史中位值为140万美元。积极的一面是，过去十二个季度的中位交易规模均超过了这一历史中位值。自2016年以来，只有三个季度的中位交易规模超过300万美元，这表明尽管交易数量和交易价值下降，早期交易仍然更昂贵。换句话说，加密风投投资者不仅自2016年以来提高了最低支票规模，而且逐年变得更加注重策略部署。此外，几个季度以来首次，所有风投的中位交易规模超过了加密风投，这表明加密公司的估值已经下降。在估值方面，中位投资前估值从第三季度的2113万美元下降到第四季度的1080万美元，主要归因于交易数量减少。中位投资后估值也从第三季度的2800万美元下降到第四季度的1400万美元。</w:t>
      </w:r>
    </w:p>
    <w:p>
      <w:pPr>
        <w:pStyle w:val="正文内容"/>
        <w:spacing w:before="0" w:after="0" w:line="240" w:lineRule="auto"/>
        <w:ind w:left="0" w:right="0" w:firstLine="560"/>
        <w:jc w:val="both"/>
      </w:pPr>
      <w:r>
        <w:rPr>
          <w:rFonts w:ascii="Times New Roman" w:hAnsi="Times New Roman" w:cs="Times New Roman" w:eastAsia="仿宋"/>
          <w:b w:val="0"/>
          <w:sz w:val="28"/>
        </w:rPr>
        <w:t>中位投资前估值和中位投资后估值的大幅下降，加上缺乏融资，表明对于较少风投支持的公司而言估值更为保守，并且顶级投资组合公司正在以低于历史估值的水平进行整合。这并不意味着现有投资组合公司估值下调，而是指后期阶段的新公司面临较低的历史估值。对于加密风投投资者来说，这是一个积极信号。对于加密支持的风投公司来说，情况则略有不同。总体而言，对于加密风投投资者和风投支持的公司来说，考虑到2020年之前的市场，该行业在交易规模和估值方面取得了进展。尽管加密风投投资者面临挑战，但季度交易数量仍处于或接近自2016年以来的季度均值，且估值自2020年以来有所上升，这是风投市场增长的积极信号。</w:t>
      </w:r>
    </w:p>
    <w:p>
      <w:pPr>
        <w:pStyle w:val="正文内容"/>
        <w:spacing w:before="0" w:after="0" w:line="240" w:lineRule="auto"/>
        <w:ind w:left="0" w:right="0" w:firstLine="560"/>
        <w:jc w:val="both"/>
      </w:pPr>
      <w:r>
        <w:rPr>
          <w:rFonts w:ascii="Times New Roman" w:hAnsi="Times New Roman" w:cs="Times New Roman" w:eastAsia="仿宋"/>
          <w:b w:val="0"/>
          <w:sz w:val="28"/>
        </w:rPr>
        <w:t>准确的市场范围风投交易数据对于区块链/加密市场而言仍然是一个挑战，主要是由于与传统风投市场相比规模较小。例如，截至2023年底，对于已知投资前和投资后估值的交易，加密货币利用PitchBook Data和Galaxy的方法统计了1632笔交易。考虑到传统风投市场的所有风投交易，该数字为34471。此外，与适当的交易分类、行业、代币化资产、归属时间表、交易价值、交易数量以及二级交易相关的信息，对于加密风投投资者来说往往是模糊且随意的数据集。这最终导致估值差异和风投交易者市场的碎片化，尤其是在二级市场上。考虑到改善市场覆盖的风投交易数据集，交易价值和数量的差异正是这一市场挑战的绝佳例证。Galaxy Research与PitchBook Data的方法指出2023年有1998笔交易，总价值98亿美元。DeFiLlama的年底总交易价值为62亿美元，共720笔交易。Crypto Valley的年度区块链风投报告指出1031笔交易，价值98亿美元。The Block记录了1819笔交易，价值107亿美元。而Messari记录了196亿美元，其中包括Stripe的65亿美元融资作为加密相关交易。排除Stripe后，Messari的总交易价值为131亿美元，共1698笔交易。</w:t>
      </w:r>
    </w:p>
    <w:p>
      <w:pPr>
        <w:pStyle w:val="正文内容"/>
        <w:spacing w:before="0" w:after="0" w:line="240" w:lineRule="auto"/>
        <w:ind w:left="0" w:right="0" w:firstLine="560"/>
        <w:jc w:val="both"/>
      </w:pPr>
      <w:r>
        <w:rPr>
          <w:rFonts w:ascii="Times New Roman" w:hAnsi="Times New Roman" w:cs="Times New Roman" w:eastAsia="仿宋"/>
          <w:b w:val="0"/>
          <w:sz w:val="28"/>
        </w:rPr>
        <w:t>虽然少数风投交易数据集在交易价值和数量上相似，但交易分类和分类法使得在资产层面评估风投市场变得困难。一家促进加密集成的金融科技公司是否应被归类为金融科技或加密公司？传统风投与加密风投之间的界限变得越来越模糊。标准风投与加密风投之间的区别可能意味着数十亿美元的误差。在一个“迫切需要IPO回归”的风投市场中，风投退出对于加密支持的公司尤其具有挑战性。如果加密风投基金在2024年筹集资金不顺利，我们将要么看到类似于过去六个季度的惨淡交易活动持续，要么公司将在不关闭的情况下寻求公开市场流动性。如果近期筹集的基金（尤其是2022年份）开始分配，这肯定会帮助融资周期，并对2024年底的交易活动和估值产生净收益。此外，早期年份（截至2023年）的优异表现将有助于为风投基金争取更多机构配置。VisionTrack旨在2024年年中提供2023年底加密风投策略的表现数据。这些工具可能会带来4000亿美元的机会。这是一个令人兴奋的数字，但我们尚未看到这一趋势持续出现。Superstate、Securitize等加密原生公司正在致力于解决这一问题，并正在为投资者铺平道路。在目前可识别的代币化基金产品中，大多数筹集的基金被归类为私人信贷。然而，我们看到更多另类基金，如KKR的Healthcare Growth II基金和商品基金，引起了行业兴趣。在代币化基金产品发展方面，Apollo和JP Morgan于2023年第四季度发布了一项重大公告，此前行业对现实世界资产（Real World Assets，RWAs）已经兴奋了数个季度。</w:t>
      </w:r>
    </w:p>
    <w:p>
      <w:pPr>
        <w:pStyle w:val="正文内容"/>
        <w:spacing w:before="0" w:after="0" w:line="240" w:lineRule="auto"/>
        <w:ind w:left="0" w:right="0" w:firstLine="560"/>
        <w:jc w:val="both"/>
      </w:pPr>
      <w:r>
        <w:rPr>
          <w:rFonts w:ascii="Times New Roman" w:hAnsi="Times New Roman" w:cs="Times New Roman" w:eastAsia="仿宋"/>
          <w:b w:val="0"/>
          <w:sz w:val="28"/>
        </w:rPr>
        <w:t>两大投资巨头与基础设施提供商Oasis Pro和Provenance Blockchain合作开展Project Guardian，利用私有区块链管理代币化资产和基金产品。加密对冲基金和风险投资行业是否会朝类似的运营方向发展，我们还需拭目以待。像MetaMask、Magic Eden和Audius这样的公司是否应被纳入风险投资交易活动？随着越来越多的金融科技和传统金融服务公司整合区块链/加密货币基础设施及Web3商业模式，将这些公司排除在外应在报告数据中予以披露。尽管Stripe可能并非一家具有加密原生背景的加密原生公司，但其正在整合基础设施和技术以获取显著市场份额，这对风投支持的加密企业而言是一个重要考量。</w:t>
      </w:r>
    </w:p>
    <w:p>
      <w:pPr>
        <w:pStyle w:val="正文内容"/>
        <w:spacing w:before="0" w:after="0" w:line="240" w:lineRule="auto"/>
        <w:ind w:left="0" w:right="0" w:firstLine="560"/>
        <w:jc w:val="both"/>
      </w:pPr>
      <w:r>
        <w:rPr>
          <w:rFonts w:ascii="Times New Roman" w:hAnsi="Times New Roman" w:cs="Times New Roman" w:eastAsia="仿宋"/>
          <w:b w:val="0"/>
          <w:sz w:val="28"/>
        </w:rPr>
        <w:t>由于数据收集缺乏标准化，风险投资交易数据可能存在不准确性。第三方数据公司、基金管理人和估值专家都在努力解决这一问题。然而，这种碎片化状况引发了人们对加密风投基金最终表现的真实性质疑。此外，高质量信息的缺乏限制了投资者基础，阻碍了更多加密风险投资交易的达成。另外，与链上基金相关的信息质量也是一个问题。对于机构加密投资者来说，2023年无疑是重塑年，重点是恢复市场信心和测试新产品。</w:t>
      </w:r>
    </w:p>
    <w:p>
      <w:pPr>
        <w:pStyle w:val="正文内容"/>
        <w:spacing w:before="0" w:after="0" w:line="240" w:lineRule="auto"/>
        <w:ind w:left="0" w:right="0" w:firstLine="560"/>
        <w:jc w:val="both"/>
      </w:pPr>
      <w:r>
        <w:rPr>
          <w:rFonts w:ascii="Times New Roman" w:hAnsi="Times New Roman" w:cs="Times New Roman" w:eastAsia="仿宋"/>
          <w:b w:val="0"/>
          <w:sz w:val="28"/>
        </w:rPr>
        <w:t>尽管并非全新，但代币化基金产品和现实世界资产在低交易量和低波动期间维持了投资者的兴趣。机构质押产品，伴随着代币化货币市场基金和短期代币化国债的日益普及，为投资者提供了一个便捷的运营产品，用以缓解稳定币风险。2023年3月的银行流动性危机促使投资者考虑稳定币之外的现金等价解决方案，吸引了活跃的基金管理人关注这些金融服务。加密货币对冲基金在过去几年曾尝试代币化投资策略，然而这一模式仍面临诸多挑战，且应用并不普遍。</w:t>
      </w:r>
    </w:p>
    <w:p>
      <w:pPr>
        <w:pStyle w:val="正文内容"/>
        <w:spacing w:before="0" w:after="0" w:line="240" w:lineRule="auto"/>
        <w:ind w:left="0" w:right="0" w:firstLine="560"/>
        <w:jc w:val="both"/>
      </w:pPr>
      <w:r>
        <w:rPr>
          <w:rFonts w:ascii="Times New Roman" w:hAnsi="Times New Roman" w:cs="Times New Roman" w:eastAsia="仿宋"/>
          <w:b w:val="0"/>
          <w:sz w:val="28"/>
        </w:rPr>
        <w:t>尽管许多公司尝试将此类产品推向市场，但预计未来几年将有更多另类投资基金工具上链。贝恩公司（Bain）2023年底的报告表明，另类投资的代币化是一个趋势。主动管理策略对于机构加密货币的发展至关重要。对冲基金和风险投资基金同为更广泛的加密货币用例开发和采用提供支持系统。虽然业绩很重要，但这些投资工具为2022年因各种复杂问题而陷入困境的行业提供了流动性和机会。</w:t>
      </w:r>
    </w:p>
    <w:p>
      <w:pPr>
        <w:pStyle w:val="正文内容"/>
        <w:spacing w:before="0" w:after="0" w:line="240" w:lineRule="auto"/>
        <w:ind w:left="0" w:right="0" w:firstLine="560"/>
        <w:jc w:val="both"/>
      </w:pPr>
      <w:r>
        <w:rPr>
          <w:rFonts w:ascii="Times New Roman" w:hAnsi="Times New Roman" w:cs="Times New Roman" w:eastAsia="仿宋"/>
          <w:b w:val="0"/>
          <w:sz w:val="28"/>
        </w:rPr>
        <w:t>2023年的大部分时间可概括为许多加密货币对冲基金和风投公司面临的挑战期，因为被动/贝塔产品主导了市场。正如以往周期所示，专注于提供高质量的机构级基金产品、往往得到加密原生LP支持的基金管理人将生存下来，并在市场反弹时获益。从配置者角度来看，与加密原生投资者相比，机构配置者通常难以通过合适的基金工具把握市场时机，因为即时的市场力量会将配置者置于“当前趋势”中。从零开始很重要，且往往是配置者的第一步。</w:t>
      </w:r>
    </w:p>
    <w:p>
      <w:pPr>
        <w:pStyle w:val="正文内容"/>
        <w:spacing w:before="0" w:after="0" w:line="240" w:lineRule="auto"/>
        <w:ind w:left="0" w:right="0" w:firstLine="560"/>
        <w:jc w:val="both"/>
      </w:pPr>
      <w:r>
        <w:rPr>
          <w:rFonts w:ascii="Times New Roman" w:hAnsi="Times New Roman" w:cs="Times New Roman" w:eastAsia="仿宋"/>
          <w:b w:val="0"/>
          <w:sz w:val="28"/>
        </w:rPr>
        <w:t>然而，这些基金策略的吸引力在市场低迷时期会变得更加明显。例如，去年夏天是考虑中小盘基本面及量化方向敞口的绝佳时机。如果单一资产现货产品在2024年初表现良好，那么不出意外的话，我们将在今年晚些时候看到兴趣和热情推动资金轮动至市场中性基金和风险投资基金产品。结论与展望：如果您是数字资产基金经理，并且希望将您的业绩结果贡献给VisionTrack以有资格纳入我们的VisionTrack指数，请通过visiontrack@galaxy.com联系我们。</w:t>
      </w:r>
    </w:p>
    <w:p>
      <w:pPr>
        <w:pStyle w:val="正文内容"/>
        <w:spacing w:before="0" w:after="0" w:line="240" w:lineRule="auto"/>
        <w:ind w:left="0" w:right="0" w:firstLine="560"/>
        <w:jc w:val="both"/>
      </w:pPr>
      <w:r>
        <w:rPr>
          <w:rFonts w:ascii="Times New Roman" w:hAnsi="Times New Roman" w:cs="Times New Roman" w:eastAsia="仿宋"/>
          <w:b w:val="0"/>
          <w:sz w:val="28"/>
        </w:rPr>
        <w:t>有关我们更新后的方法论以及可下载的月度数据，请访问我们的网站https://visiontrack.galaxy.com。联系方式：[1]BLOOMBERG是Bloomberg Finance L.P.的商标或服务标志。GALAXY是GDCM的商标。Bloomberg Finance L.P.及其附属机构（统称“Bloomberg”）与GDCM、本基金及其各自附属机构（统称“Galaxy”）无关联。Bloomberg与Galaxy的合作关系是作为CFIX指数（“指数”）的管理人和计算代理人，该指数为Bloomberg所有。Bloomberg和Galaxy均不保证与指数或所得结果相关的任何数据或信息的及时性、准确性或完整性。</w:t>
      </w:r>
    </w:p>
    <w:p>
      <w:pPr>
        <w:pStyle w:val="正文内容"/>
        <w:spacing w:before="0" w:after="0" w:line="240" w:lineRule="auto"/>
        <w:ind w:left="0" w:right="0" w:firstLine="560"/>
        <w:jc w:val="both"/>
      </w:pPr>
      <w:r>
        <w:rPr>
          <w:rFonts w:ascii="Times New Roman" w:hAnsi="Times New Roman" w:cs="Times New Roman" w:eastAsia="仿宋"/>
          <w:b w:val="0"/>
          <w:sz w:val="28"/>
        </w:rPr>
        <w:t>Bloomberg和Galaxy均不就指数、与之相关的任何数据或数值、任何以此为组成部分或基于指数的金融产品或工具（“产品”）或由此获得的结果作出任何明示或暗示的保证，并明确否认所有关于适销性和特定用途适用性的保证。在法律允许的最大范围内，Bloomberg、其许可方、Galaxy及其各自员工、承包商、代理人、供应商和供应商不对因指数、与之相关的任何数据或数值或任何产品（无论是因疏忽或其他原因引起）而产生的任何直接、间接、附带、惩罚性或任何其他损害承担任何责任或义务。</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（信息来源：Galaxy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原文标题：Research â¢ January 24， 2024 2024 Institutional Crypto Hedge Fund &amp; Venture Report Funds Markets &amp; Macro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原文链接：https://assets.ctfassets.net/h62aj7eo1csj/7uisK9OoSR9Zp3cV4Q2uyS/992a6e48b383d0dde6eb4570df3e811f/GLXY_2024_Whitepaper_VisionTrack-2024InstitutionalCrypto_final.pdf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PDF文件：reports/2026/research_sources/20260604/Galaxy_Research_Research_January_24_2024_2024_Institutional_Crypto_Hedge_Fund_Venture_Report_Funds_Markets_Macro_ee2b1bc5.pdf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