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专题研究</w:t>
      </w:r>
    </w:p>
    <w:p>
      <w:pPr>
        <w:jc w:val="center"/>
      </w:pPr>
      <w:r>
        <w:rPr>
          <w:rFonts w:ascii="Times New Roman" w:hAnsi="Times New Roman" w:cs="Times New Roman" w:eastAsia="黑体"/>
          <w:b w:val="0"/>
          <w:sz w:val="30"/>
        </w:rPr>
        <w:t>全球区块链监管沙盒与代币化进展：香港、欧洲与塞浦路斯的实践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香港金融管理局（HKMA）于2024年8月启动Project Ensemble沙盒，探索代币化资产交易及批发央行数字货币（wCBDC）结算。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欧洲区块链监管沙盒由欧盟委员会发起，为跨辖区监管对话提供框架，已筛选两批共40个用例，发布最佳实践报告。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塞浦路斯通过国家区块链战略及CySEC创新中心与监管沙盒，成为欧洲区块链创新热点，推动金融科技多元发展。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《国际区块链法律杂志》第10期于2024年10月发布，汇集了来自马来西亚、德国、荷兰、奥地利、塞浦路斯、英国、美国及香港等多地的区块链与加密资产法律研究。本期重点聚焦全球监管沙盒（Regulatory Sandbox）的实践，涵盖香港金融管理局（HKMA）的Project Ensemble沙盒、欧洲区块链沙盒以及塞浦路斯的监管创新。同时，内容延伸至初始交易所发行（IEO）、OECD加密资产报告框架（CARF）以及加密破产拍卖等前沿议题，为业界提供了跨领域的法律与政策洞察。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首先，来自Norton Rose Fulbright的Etelka Bogardi详细介绍了HKMA于2024年8月28日推出的Project Ensemble沙盒。该沙盒是Project Ensemble的关键组成部分，旨在构建新型金融市场基础设施（FMI），支持代币化资产从创建、交易到结算的完整生命周期。沙盒初期实验围绕固定收益与投资基金、流动性管理、绿色金融以及贸易供应链金融四大主题展开，并计划测试跨境支付功能。值得注意的是，HKMA已与法国央行（BdF）完成系统连接，成功演示了跨境的原子化结算。香港证监会（SFC）将共同领导资产管理行业的代币化倡议，提供监管指引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Project Ensemble沙盒建立在2024年5月成立的架构社区（Architecture Community）基础之上。该社区由银行、科技公司、监管机构及学术界代表组成，旨在制定行业标准以支持wCBDC（批发央行数字货币）、代币化货币与代币化资产之间的互操作性。社区中的银行已将其代币化存款平台接入沙盒，使参与者能够试验银行间支付对支付（PvP）与交付对支付（DvP）结算。HKMA还计划与国际清算银行创新枢纽香港中心及CBDC专家组合作，进一步推进沙盒的发展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展望未来，Project Ensemble沙盒被设计为可扩展模式，初期实验外还将支持多种数字形态的货币与资产。HKMA正积极推动沙盒向生产就绪型FMI演进，为香港未来真实代币化交易提供支持。HKMA与SFC在Project Ensemble上的合作表明，监管机构正致力于推动代币化并建立统一的代币化资产结算标准，这有望提升香港在全球数字金融领域的竞争力。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其次，Bird &amp; Bird律师事务所的Michael Jünemann与Marjolein Geus介绍了欧洲区块链监管沙盒（European Blockchain Sandbox）。该沙盒是欧盟委员会（EC）的一项倡议，旨在建立一个泛欧框架，促进私营与公共领域的区块链/DLT创新者与各国及欧盟层面的监管机构之间的跨境监管对话。与经典的“监管沙盒”不同，欧洲区块链沙盒不提供法律豁免或批准，而是提供一个保密、非正式的对话环境，帮助创新者理解监管要求，同时让监管机构了解前沿技术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欧洲区块链沙盒自2023年起每年筛选20个涉及不同行业与欧洲经济区（EEA）地区的DLT/区块链用例。第一轮（2023年）收到近90份申请，经独立专家评审后选定20个用例，并与超过50个国家及欧盟监管机构进行了对话。对话结果以最佳实践报告形式于2024年6月发布，涵盖GDPR、网络安全、反洗钱（AML）及金融监管等议题。第二轮（2024年）同样完成筛选，第三轮（2025年）的申请预计于2024年底启动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欧洲区块链沙盒的优势体现在多方面：对于参与者，可获得专业法律与监管建议，与多国监管机构进行建设性对话，且无需缴纳费用；对于监管机构，能够就具体用例探讨跨境监管问题，分享经验，提升对前沿技术的理解，并有机会获评“最具创新力监管机构”。沙盒的反馈普遍积极，几乎所有参与的监管机构都表达了继续参与的意愿。这一机制有助于在欧盟/EEA内部形成对DLT监管的共识，为创新企业提供法律确定性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随后，DS Partners律师事务所的Mikaela Kantor探讨了塞浦路斯的区块链监管进展。塞浦路斯凭借其战略地理位置、欧盟成员国身份以及对新兴技术的友好态度，已成为区块链项目的热点管辖区之一。2019年，塞浦路斯通过了国家区块链战略（National Blockchain Strategy），为后续发展奠定基础。2024年6月，塞浦路斯证券交易委员会（CySEC）推出监管沙盒，这是其创新中心（Innovation Hub）的一部分，旨在支持基于区块链的金融产品创新。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塞浦路斯在区块链法律框架方面也在积极立法。2021年9月，财政部就分布式账本技术（DLT）法案（DLT Law）草案公开征求意见，该法案旨在以技术中立方式平衡创新促进与消费者保护、反洗钱（AML）要求。尽管该法案仍在制定中，但已表明塞浦路斯建立透明、安全监管环境的决心。此外，塞浦路斯参与了欧洲区块链伙伴关系（EBP）及南地中海国家DLT宣言，加强了区域数字合作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本期杂志还涵盖了其他重要议题：来自GSR Markets的作者讨论了欧盟、英国和美国在加密资产跨境市场准入方面的差异，并提出了一套原则以构建安全且鼓励创新的框架。马来西亚的Celebrus Advisory与GLT Law的专家概述了马来西亚初始交易所发行（IEO）的监管现状，包括其与伊斯兰教法的兼容性。IEO作为ICO的变体，通过数字资产交易所进行，马来西亚的监管将持续完善。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奥地利Taxbit的Max Bernt博士剖析了OECD加密资产报告框架（CARF）的关键组成部分。CARF获得G20背书及60多个司法管辖区支持，为加密资产向税务机关报告建立了标准化方法。Bernt指出，CARF并非直接用于计算加密税负，而是通过风险评估帮助税务机关识别高风险案例和潜在逃税行为，从而加强数字资产领域的税务合规。这一框架将对全球税务管理产生深远影响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美国McDermott Will &amp; Emery律师事务所的律师们分析了加密破产交易的最新动态。由于监管变化、资产价值波动及交易复杂性，加密资产重组需要灵活应对。不确定性要求特别关注财务损失缓解措施。文章以实例说明了加密火销售（Crypto Fire Sales）及破产拍卖中的关键考量，为从业者提供了实用指导。最后，本期收录了Clifford Chance与GBBC联合举办的“资产与基金代币化”专题讨论的播客链接。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综合来看，本期《国际区块链法律杂志》展现了全球区块链监管的多元图景：香港通过Project Ensemble推动代币化与CBDC结算；欧洲通过沙盒机制促进跨境监管对话；塞浦路斯则结合国家战略与沙盒构建创新生态。同时，IEO、CARF及破产等议题揭示了监管框架的持续演变。这些进展表明，全球监管机构正努力在创新与风险防控之间寻求平衡，区块链技术的法律确定性正在逐步增强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可以预见，随着代币化资产、稳定币及DeFi等领域的快速发展，监管沙盒作为试验田的角色将愈发重要。香港、欧洲和塞浦路斯的经验为其他司法管辖区提供了可借鉴的模式。未来，跨境协调与标准统一将成为关键挑战，而国际组织如OECD、BIS的参与将推动全球监管框架的趋同。对于从业者而言，深入了解各辖区监管动态并积极参与对话，将是把握机遇、规避风险的必要路径。</w:t>
      </w:r>
    </w:p>
    <w:p>
      <w:pPr>
        <w:pStyle w:val="信息来源"/>
        <w:spacing w:before="50" w:after="100" w:line="240" w:lineRule="auto"/>
        <w:ind w:left="0" w:right="0" w:firstLine="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（信息来源：TRM Labs Resources）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原文标题：TRM Labs Resources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原文链接：https：//assets.ctfassets.net/so75yocayyva/3lwsDOoaPC9qARIuwobLRj/984ebb9d3ecfe58e7957675748ba199d/23.10.24_IJBL_V10_2024_final.pdf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PDF文件：reports/2026/research_sources/20260604/TRM_Labs_Resources_TRM_Labs_Resources_474476ca.pdf</w:t>
      </w:r>
    </w:p>
    <w:sectPr w:rsidR="00FC693F" w:rsidRPr="0006063C" w:rsidSect="00034616">
      <w:pgSz w:w="12240" w:h="15840"/>
      <w:pgMar w:top="1440" w:right="1803" w:bottom="1440" w:left="1803" w:header="850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  <w:ind w:left="0" w:right="0" w:firstLine="0"/>
    </w:pPr>
    <w:rPr>
      <w:rFonts w:ascii="Times New Roman" w:hAnsi="Times New Roman" w:cs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40" w:line="240" w:lineRule="auto"/>
      <w:ind w:left="0" w:right="0"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2F54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文章一级标题">
    <w:name w:val="文章一级标题"/>
    <w:pPr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黑体"/>
      <w:sz w:val="30"/>
    </w:rPr>
  </w:style>
  <w:style w:type="paragraph" w:customStyle="1" w:styleId="正文内容">
    <w:name w:val="正文内容"/>
    <w:basedOn w:val="Normal"/>
    <w:pPr>
      <w:spacing w:before="0" w:after="0" w:line="240" w:lineRule="auto"/>
      <w:ind w:left="0" w:right="0" w:firstLine="560"/>
      <w:jc w:val="both"/>
    </w:pPr>
    <w:rPr>
      <w:rFonts w:ascii="Times New Roman" w:hAnsi="Times New Roman" w:cs="Times New Roman" w:eastAsia="仿宋"/>
      <w:sz w:val="28"/>
    </w:rPr>
  </w:style>
  <w:style w:type="paragraph" w:customStyle="1" w:styleId="信息来源">
    <w:name w:val="信息来源"/>
    <w:basedOn w:val="Normal"/>
    <w:pPr>
      <w:spacing w:before="50" w:after="100" w:line="240" w:lineRule="auto"/>
      <w:ind w:left="0" w:right="0" w:firstLine="0"/>
      <w:jc w:val="right"/>
    </w:pPr>
    <w:rPr>
      <w:rFonts w:ascii="Times New Roman" w:hAnsi="Times New Roman" w:cs="Times New Roman" w:eastAsia="仿宋"/>
      <w:sz w:val="21"/>
    </w:rPr>
  </w:style>
  <w:style w:type="paragraph" w:customStyle="1" w:styleId="原文信息">
    <w:name w:val="原文信息"/>
    <w:basedOn w:val="Normal"/>
    <w:pPr>
      <w:spacing w:before="0" w:after="0" w:line="240" w:lineRule="auto"/>
      <w:ind w:left="0" w:right="0" w:firstLine="0"/>
      <w:jc w:val="left"/>
    </w:pPr>
    <w:rPr>
      <w:rFonts w:ascii="Times New Roman" w:hAnsi="Times New Roman" w:cs="Times New Roman" w:eastAsia="仿宋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专题研究_20260604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