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cs="Times New Roman" w:eastAsia="黑体"/>
          <w:b w:val="0"/>
          <w:color w:val="2F5496"/>
          <w:sz w:val="32"/>
        </w:rPr>
        <w:t>专题研究</w:t>
      </w:r>
    </w:p>
    <w:p>
      <w:pPr>
        <w:jc w:val="center"/>
      </w:pPr>
      <w:r>
        <w:rPr>
          <w:rFonts w:ascii="Times New Roman" w:hAnsi="Times New Roman" w:cs="Times New Roman" w:eastAsia="黑体"/>
          <w:b w:val="0"/>
          <w:sz w:val="30"/>
        </w:rPr>
        <w:t>2024年机构加密货币对冲基金与风险投资报告</w:t>
      </w:r>
    </w:p>
    <w:p>
      <w:pPr>
        <w:spacing w:before="0" w:after="0" w:line="240" w:lineRule="auto"/>
        <w:ind w:left="0" w:right="0" w:firstLine="0"/>
        <w:jc w:val="both"/>
      </w:pPr>
      <w:r>
        <w:rPr>
          <w:rFonts w:ascii="Times New Roman" w:hAnsi="Times New Roman" w:cs="Times New Roman" w:eastAsia="仿宋"/>
          <w:b w:val="0"/>
          <w:sz w:val="28"/>
        </w:rPr>
        <w:t>· 约34%的加密货币专业对冲基金拥有3年以上业绩记录，56.2%的基金成立时间在1-3年之间</w:t>
      </w:r>
    </w:p>
    <w:p>
      <w:pPr>
        <w:spacing w:before="0" w:after="0" w:line="240" w:lineRule="auto"/>
        <w:ind w:left="0" w:right="0" w:firstLine="0"/>
        <w:jc w:val="both"/>
      </w:pPr>
      <w:r>
        <w:rPr>
          <w:rFonts w:ascii="Times New Roman" w:hAnsi="Times New Roman" w:cs="Times New Roman" w:eastAsia="仿宋"/>
          <w:b w:val="0"/>
          <w:sz w:val="28"/>
        </w:rPr>
        <w:t>· 2023年下半年，加密货币基础面和量化方向型基金的前两个四分位数的表现优于比特币</w:t>
      </w:r>
    </w:p>
    <w:p>
      <w:pPr>
        <w:spacing w:before="0" w:after="0" w:line="240" w:lineRule="auto"/>
        <w:ind w:left="0" w:right="0" w:firstLine="0"/>
        <w:jc w:val="both"/>
      </w:pPr>
      <w:r>
        <w:rPr>
          <w:rFonts w:ascii="Times New Roman" w:hAnsi="Times New Roman" w:cs="Times New Roman" w:eastAsia="仿宋"/>
          <w:b w:val="0"/>
          <w:sz w:val="28"/>
        </w:rPr>
        <w:t>· 2023年第四季度加密货币对冲基金管理资产规模跃升至约152亿美元</w:t>
      </w:r>
    </w:p>
    <w:p>
      <w:pPr>
        <w:sectPr>
          <w:pgSz w:w="12240" w:h="15840"/>
          <w:pgMar w:top="1440" w:right="1803" w:bottom="1440" w:left="1803" w:header="850" w:footer="992" w:gutter="0"/>
          <w:cols w:space="720"/>
          <w:docGrid w:type="lines" w:linePitch="312"/>
        </w:sectPr>
      </w:pPr>
    </w:p>
    <w:p>
      <w:pPr>
        <w:pStyle w:val="正文内容"/>
        <w:spacing w:before="0" w:after="0" w:line="240" w:lineRule="auto"/>
        <w:ind w:left="0" w:right="0" w:firstLine="560"/>
        <w:jc w:val="both"/>
      </w:pPr>
      <w:r>
        <w:rPr>
          <w:rFonts w:ascii="Times New Roman" w:hAnsi="Times New Roman" w:cs="Times New Roman" w:eastAsia="仿宋"/>
          <w:b w:val="0"/>
          <w:sz w:val="28"/>
        </w:rPr>
        <w:t>约34%的专注于加密货币的对冲基金（crypto-dedicated hedge funds）拥有3年以上业绩记录；56.2%的基金成立日期在1至3年间。不到7.2%的加密对冲基金拥有4年以上业绩记录。2023年下半年，基本面基金和量化方向基金（fundamental and quant directional funds）的前两个四分位数表现优于比特币。加密对冲基金资产管理规模（Assets Under Management，AUM）在2023年第四季度跃升至约152亿美元，其中基本面策略持有114亿美元，量化方向基金持有18亿美元，市场中性基金（Market Neutral Funds）持有19亿美元。</w:t>
      </w:r>
    </w:p>
    <w:p>
      <w:pPr>
        <w:pStyle w:val="正文内容"/>
        <w:spacing w:before="0" w:after="0" w:line="240" w:lineRule="auto"/>
        <w:ind w:left="0" w:right="0" w:firstLine="560"/>
        <w:jc w:val="both"/>
      </w:pPr>
      <w:r>
        <w:rPr>
          <w:rFonts w:ascii="Times New Roman" w:hAnsi="Times New Roman" w:cs="Times New Roman" w:eastAsia="仿宋"/>
          <w:b w:val="0"/>
          <w:sz w:val="28"/>
        </w:rPr>
        <w:t>全年所有加密对冲基金的中位数规模小幅增长，主要归因于加密货币价格上涨，但第四季度认购增加。全球风险投资公司（venture capital firms）在加密/区块链领域2023年通过58只基金筹集了57.5亿美元，低于2022年创纪录的262只基金377亿美元。加密风投公司占全球风险投资筹资的份额约为3.53%，低于2022年12.62%的高点。原生加密公司（crypto-native firms）占2023年关闭基金的72%，传统投资者支持了该行业的筹资。平均每年，原生加密公司关闭81%专注于加密风险投资的基金。</w:t>
      </w:r>
    </w:p>
    <w:p>
      <w:pPr>
        <w:pStyle w:val="正文内容"/>
        <w:spacing w:before="0" w:after="0" w:line="240" w:lineRule="auto"/>
        <w:ind w:left="0" w:right="0" w:firstLine="560"/>
        <w:jc w:val="both"/>
      </w:pPr>
      <w:r>
        <w:rPr>
          <w:rFonts w:ascii="Times New Roman" w:hAnsi="Times New Roman" w:cs="Times New Roman" w:eastAsia="仿宋"/>
          <w:b w:val="0"/>
          <w:sz w:val="28"/>
        </w:rPr>
        <w:t>加密货币总市值在2022年底为8400亿美元，2023年增长至1.77万亿美元，实现健康的一年增长。截至2022年底，比特币在排名前十的其他加密货币中占据约38.43%的市场主导地位；到2023年底，比特币的主导地位约为47.8%，其最高水平出现在12月6日，达到51.5%（数据来自CoinGecko）。比特币的主导地位始于2023年第二季度末美国比特币现货ETF（Bitcoin Spot ETF）审批进程获得动力。贝莱德（BlackRock）在6月决定申请现货BTC ETF——其首次此类申请——重新点燃了竞争，促使先前的发行商Invesco/Galaxy、ArkInvest、Fidelity、VanEck、WisdomTree、Bitwise等重新申请，推动了市场兴趣激增。比特币在2023年3月重返年度高点。</w:t>
      </w:r>
    </w:p>
    <w:p>
      <w:pPr>
        <w:pStyle w:val="正文内容"/>
        <w:spacing w:before="0" w:after="0" w:line="240" w:lineRule="auto"/>
        <w:ind w:left="0" w:right="0" w:firstLine="560"/>
        <w:jc w:val="both"/>
      </w:pPr>
      <w:r>
        <w:rPr>
          <w:rFonts w:ascii="Times New Roman" w:hAnsi="Times New Roman" w:cs="Times New Roman" w:eastAsia="仿宋"/>
          <w:b w:val="0"/>
          <w:sz w:val="28"/>
        </w:rPr>
        <w:t>到2023年仲夏，许多加密基金管理人已耗费年初大部分时间，引入新的服务提供商，特别是银行关系、数字资产托管人、机构质押合作伙伴及中心化加密货币交易所。由于2022年的崩盘仍让许多基金管理人记忆犹新，加强运营控制成为去年各公司的优先事项。策略融资尚未恢复，许多公司面临的市场与历史水平相比，全年大部分时间交易量和波动性均较低。根据VisionTrack数据，我们估计从2022年5月至2023年12月，715只专注于加密货币的对冲基金中有250只关闭，约占市场的35%。</w:t>
      </w:r>
    </w:p>
    <w:p>
      <w:pPr>
        <w:pStyle w:val="正文内容"/>
        <w:spacing w:before="0" w:after="0" w:line="240" w:lineRule="auto"/>
        <w:ind w:left="0" w:right="0" w:firstLine="560"/>
        <w:jc w:val="both"/>
      </w:pPr>
      <w:r>
        <w:rPr>
          <w:rFonts w:ascii="Times New Roman" w:hAnsi="Times New Roman" w:cs="Times New Roman" w:eastAsia="仿宋"/>
          <w:b w:val="0"/>
          <w:sz w:val="28"/>
        </w:rPr>
        <w:t>对于未因2022年破产而损失全部基金价值的基金管理人，许多人面临不确定的宏观环境和配置者风险偏好降低。尽管可能有许多论述帮助机构“从零开始”，但主动策略的信息传递并不顺利，顶级对冲基金遭遇赎回。对于在2022年低迷和2023年初赎回中幸存下来的基金，我们的数据显示，34.01%的专注于加密货币的对冲基金拥有3年以上业绩记录；56.2%拥有1至3年的业绩记录；不到7.2%拥有4年以上业绩记录。对于一个此前几年基金增长热情高涨的行业而言，根据VisionTrack数据，截至2023年底，前20大对冲基金持有对冲基金总AUM约71.6%，2022年底这一数字约为75%。顶级基金管理人集中基金价值并不令人意外，因为许多有限合伙人（Limited Partner，LP）会同时持有一只加密对冲基金多年。虽然低迷时期困难重重，加密对冲基金通常设有月度认购/赎回机制，但LP基础更常见的是以多年投资理念对待加密对冲基金。</w:t>
      </w:r>
    </w:p>
    <w:p>
      <w:pPr>
        <w:pStyle w:val="正文内容"/>
        <w:spacing w:before="0" w:after="0" w:line="240" w:lineRule="auto"/>
        <w:ind w:left="0" w:right="0" w:firstLine="560"/>
        <w:jc w:val="both"/>
      </w:pPr>
      <w:r>
        <w:rPr>
          <w:rFonts w:ascii="Times New Roman" w:hAnsi="Times New Roman" w:cs="Times New Roman" w:eastAsia="仿宋"/>
          <w:b w:val="0"/>
          <w:sz w:val="28"/>
        </w:rPr>
        <w:t>对于行业基金管理人及其投资者而言，2022年这样的低迷确实动摇信心，有时甚至事关存亡。在持续应对批评和怀疑的同时，所有正面新闻事件都被紧紧抓住，以帮助反弹和复兴该资产类别。最黑暗的日子似乎并不遥远，而反弹之年并不总是伴随着兴奋或狂热，更多的是验证和宽慰。2023年的最后几个月正是如此。尽管进入2024年时批评和怀疑仍然存在，加密货币（尤其是比特币）在精神和业绩上已证明十多年来是法定货币的可信替代品，保持了其价值储存功能，并提供了革命性的数字固定供应货币体系。2023年，这一叙事得到巩固，地缘政治不确定性和银行体系动荡进一步凸显了比特币独特价值主张。</w:t>
      </w:r>
    </w:p>
    <w:p>
      <w:pPr>
        <w:pStyle w:val="正文内容"/>
        <w:spacing w:before="0" w:after="0" w:line="240" w:lineRule="auto"/>
        <w:ind w:left="0" w:right="0" w:firstLine="560"/>
        <w:jc w:val="both"/>
      </w:pPr>
      <w:r>
        <w:rPr>
          <w:rFonts w:ascii="Times New Roman" w:hAnsi="Times New Roman" w:cs="Times New Roman" w:eastAsia="仿宋"/>
          <w:b w:val="0"/>
          <w:sz w:val="28"/>
        </w:rPr>
        <w:t>虽然无法准确预测2024年加密资产会如何发展，但我们可以回顾过去，为各种结果做好准备。我们确实知道的是，全球货币政策存在深层次的结构性问题，高利率环境和逐年通胀压力加剧了这些问题。对于公开市场，投资者带着巨大期待但也带着对软着陆/硬着陆的担忧进入2023年。SPDR标普500 ETF全年上涨+16.79%，但表象之下，很大一部分涨幅可能归因于“七大巨头”，标普500历史上从未如此头重脚轻。半导体、实用人工智能的首次亮相、基础设施和国防振兴的呼声以及全球贸易政策变化，推动了全年大部分市场。老练的投资者争论着迫在眉睫的美国衰退时机，短期国债和货币市场基金的吸引力逐月攀升。私募股权基金筹资降至六年低点，使私募市场流动性充沛的日子仿佛一去不返。在此背景下，美国企业破产申请增至642宗，为2011年以来最高；投资者继续质疑头部金融机构因2023年3月流动性危机而产生的未实现持有至到期损失。</w:t>
      </w:r>
    </w:p>
    <w:p>
      <w:pPr>
        <w:pStyle w:val="正文内容"/>
        <w:spacing w:before="0" w:after="0" w:line="240" w:lineRule="auto"/>
        <w:ind w:left="0" w:right="0" w:firstLine="560"/>
        <w:jc w:val="both"/>
      </w:pPr>
      <w:r>
        <w:rPr>
          <w:rFonts w:ascii="Times New Roman" w:hAnsi="Times New Roman" w:cs="Times New Roman" w:eastAsia="仿宋"/>
          <w:b w:val="0"/>
          <w:sz w:val="28"/>
        </w:rPr>
        <w:t>2023年，VisionTrack的加密对冲基金指数全年跑输比特币。彭博银河比特币指数（Bloomberg Galaxy Bitcoin Index）上涨+153.01%，彭博银河加密货币指数（Bloomberg Galaxy Crypto Index，BCGI）在第四季度上涨+139.56%。VisionTrack综合指数（VisionTrack Composite Index）上涨+64.02%，VisionTrack基本面指数（VisionTrack Fundamental Index）上涨+101.96%，VisionTrack量化方向指数（VisionTrack Quant Directional Index）上涨+56.41%，VisionTrack市场中性指数（VisionTrack Market Neutral Index）上涨+18.48%。正如我们第二季度机构对冲基金和风险投资报告所示，2023年以类似2019年的方式开局，在经历重大下跌年份后实现反弹。2019年，比特币表现优于部分ETF和基准指数，上涨+94.37%。同期，VisionTrack基本面指数上涨+22.4%，VisionTrack量化方向指数上涨+38.89%，VisionTrack市场中性指数上涨+16.92%。2019年下半年，比特币表现挣扎，六个月中有五个月月度表现下滑，10月是唯一上涨月份（+10.19%）。从当年7月底到12月底，比特币下跌-28.83%，VisionTrack综合指数下跌-14.92%。</w:t>
      </w:r>
    </w:p>
    <w:p>
      <w:pPr>
        <w:pStyle w:val="正文内容"/>
        <w:spacing w:before="0" w:after="0" w:line="240" w:lineRule="auto"/>
        <w:ind w:left="0" w:right="0" w:firstLine="560"/>
        <w:jc w:val="both"/>
      </w:pPr>
      <w:r>
        <w:rPr>
          <w:rFonts w:ascii="Times New Roman" w:hAnsi="Times New Roman" w:cs="Times New Roman" w:eastAsia="仿宋"/>
          <w:b w:val="0"/>
          <w:sz w:val="28"/>
        </w:rPr>
        <w:t>在同一时间段内，VisionTrack基本面指数（VisionTrack Fundamental Index）下跌了24.71%，VisionTrack量化定向指数（VisionTrack Quant Directional Index）下跌了10.45%，而VisionTrack市场中性指数（VisionTrack Market Neutral Index）上涨了1.60%。2023年下半年与2019年下半年对于比特币（Bitcoin，BTC）而言情况截然不同。2023年，比特币从秋季到初冬一路走高，始于10月份的亮眼表现。业内称之为“Uptober”，比特币当月上涨28.34%，主要得益于交易所交易基金（ETF）的预期，加上比特币期权市场的伽马挤压效应。10月，彭博（Bloomberg）、路透（Reuters）等媒体报道称，美国证券交易委员会（Securities and Exchange Commission，SEC）与ETF申请方之间的讨论出现了真正的积极势头。尽管并非确定无疑且遭遇质疑，彭博分析师James Seyffart和Eric Balchunas在10月预计，美国比特币现货ETF在2024年1月获批的概率为90%，进一步点燃了行业热情。</w:t>
      </w:r>
    </w:p>
    <w:p>
      <w:pPr>
        <w:pStyle w:val="正文内容"/>
        <w:spacing w:before="0" w:after="0" w:line="240" w:lineRule="auto"/>
        <w:ind w:left="0" w:right="0" w:firstLine="560"/>
        <w:jc w:val="both"/>
      </w:pPr>
      <w:r>
        <w:rPr>
          <w:rFonts w:ascii="Times New Roman" w:hAnsi="Times New Roman" w:cs="Times New Roman" w:eastAsia="仿宋"/>
          <w:b w:val="0"/>
          <w:sz w:val="28"/>
        </w:rPr>
        <w:t>考虑到VisionTrack中流动性加密对冲基金成分以美元计价的净费用后业绩，2023年只有约3.9%的经理人跑赢了比特币。2019年这一比例为5.9%。正如一再表明的那样，最大的贝塔资产会在周期开始时表现出色，而配置者们在2023年已做好准备。在预期比特币主导的一年中，美国资产管理者减少了对加密对冲基金的配置。对冲基金难以筹集资金，因为它们连续数月未能跑赢比特币（BTC）和银河加密指数（BCGI），而这两者往往是许多基金的非官方基准。比特币在年内前三季度持续亮眼的表现，使得第四季度所有主动策略的新增认购竞争加剧。为应对艰难的融资环境，一些主动管理型基金策略在2023年下半年开始提供以比特币计价的份额类别以吸引投资者。</w:t>
      </w:r>
    </w:p>
    <w:p>
      <w:pPr>
        <w:pStyle w:val="正文内容"/>
        <w:spacing w:before="0" w:after="0" w:line="240" w:lineRule="auto"/>
        <w:ind w:left="0" w:right="0" w:firstLine="560"/>
        <w:jc w:val="both"/>
      </w:pPr>
      <w:r>
        <w:rPr>
          <w:rFonts w:ascii="Times New Roman" w:hAnsi="Times New Roman" w:cs="Times New Roman" w:eastAsia="仿宋"/>
          <w:b w:val="0"/>
          <w:sz w:val="28"/>
        </w:rPr>
        <w:t>量化定向策略在VisionTrack量化指数中创下了自2021年第一季度以来的最佳季度表现，平均上涨43.75%收官，大幅超越此前几个季度。多家公司在年末最后几个月看到基金认购增加，表明流动性量化策略可能在2024年准备更多资金募集。第四季度的超额正收益，尤其是11月和12月，主要由替代加密货币以及美国比特币现货获批的兴奋情绪驱动。截至季末，考虑市值约10亿美元及以上的加密资产，Solana（SOL）上涨401.9%，Sei（SEI）上涨377.1%，Injective（INJ）上涨373.3%，Avalanche（AVAX）上涨321.1%，Near（NEAR）上涨227.1%，而Celestia（TIA）的流动性代币在两个月内上涨301%。量化定向和市场中性策略在顶级加密资产及替代加密货币价格上涨中处于有利位置，因为流动资产的成交量和波动性回升。</w:t>
      </w:r>
    </w:p>
    <w:p>
      <w:pPr>
        <w:pStyle w:val="正文内容"/>
        <w:spacing w:before="0" w:after="0" w:line="240" w:lineRule="auto"/>
        <w:ind w:left="0" w:right="0" w:firstLine="560"/>
        <w:jc w:val="both"/>
      </w:pPr>
      <w:r>
        <w:rPr>
          <w:rFonts w:ascii="Times New Roman" w:hAnsi="Times New Roman" w:cs="Times New Roman" w:eastAsia="仿宋"/>
          <w:b w:val="0"/>
          <w:sz w:val="28"/>
        </w:rPr>
        <w:t>随着情绪持续改善以及顶级叙事将比特币推至年度新高，市场中的新叙事和兴奋情绪进一步推高价格，为许多经受过考验的经理人展示了成功的交易机会。历史上，以比特币计价的份额类别主要用于财资管理和评估管理解决方案。投资者群体通常包括比特币矿工、高净值个人、家族办公室、加密公司以及管理现有加密货币敞口的基金会。主动管理团队通常以便利性和更熟悉的托管解决方案为由，为许多希望维持或扩大比特币持仓的感兴趣的投资者提供定制基金。然而在第四季度，许多基金经理将这些策略视为与单一资产比特币产品（尤其是备受期待的美国比特币现货ETF）竞争的手段，目标是实现年化回报率比特币+10%至15%。根据VisionTrack，以比特币计价，这一类基金在2023年回报率为+7.59%，尽管群体规模较小，但为这一分类带来了令人兴奋的开端。</w:t>
      </w:r>
    </w:p>
    <w:p>
      <w:pPr>
        <w:pStyle w:val="正文内容"/>
        <w:spacing w:before="0" w:after="0" w:line="240" w:lineRule="auto"/>
        <w:ind w:left="0" w:right="0" w:firstLine="560"/>
        <w:jc w:val="both"/>
      </w:pPr>
      <w:r>
        <w:rPr>
          <w:rFonts w:ascii="Times New Roman" w:hAnsi="Times New Roman" w:cs="Times New Roman" w:eastAsia="仿宋"/>
          <w:b w:val="0"/>
          <w:sz w:val="28"/>
        </w:rPr>
        <w:t>考虑到符合VisionTrack指数纳入条件的加密基金策略，2023年第四季度，VisionTrack基本面指数录得自2021年第一季度（+186.15%）以来最佳季度表现，上涨57.85%，略低于比特币在2023年第四季度的涨幅（+58.12%），包含早期报告估计。值得注意的是，基本面指数连续三个月录得两位数月涨幅，这是自2021年第一季度以来的首次，也是自2018年1月以来仅第二次出现。尽管季度业绩几乎超越比特币的涨幅，但基本面指数仅有两次连续两个季度正向超额表现。包括早期估计，2023年截至12月，加密基本面策略平均上涨85.70%，量化定向基金平均上涨71.55%，市场中性基金平均上涨14.54%。对于表现位于前两个四分位的基金，对冲基金基本面策略和量化策略在全年表现相近。然而，考虑到下半年，量化策略在前四分位中显示出强劲的超额表现。</w:t>
      </w:r>
    </w:p>
    <w:p>
      <w:pPr>
        <w:pStyle w:val="正文内容"/>
        <w:spacing w:before="0" w:after="0" w:line="240" w:lineRule="auto"/>
        <w:ind w:left="0" w:right="0" w:firstLine="560"/>
        <w:jc w:val="both"/>
      </w:pPr>
      <w:r>
        <w:rPr>
          <w:rFonts w:ascii="Times New Roman" w:hAnsi="Times New Roman" w:cs="Times New Roman" w:eastAsia="仿宋"/>
          <w:b w:val="0"/>
          <w:sz w:val="28"/>
        </w:rPr>
        <w:t>尽管全年大部分时间许多基金都在追赶比特币，但在2023年下半年，基本面策略和量化定向类别的前两个四分位均跑赢了比特币（+38.75%）。下表展示了VisionTrack各四分位数的全年及下半年业绩数据：综合指数平均回报66.57%，中位数66.54%；基本面指数平均85.70%，中位数81.62%；量化定向指数平均71.55%，中位数75.88%；市场中性指数平均14.54%，中位数12.17%。第一个四分位分别高于350.8%、350.8%、329.2%和50.8%；第二个四分位介于相应区间；第三和第四四分位依次递减。2023年下半年，综合指数平均29.69%，中位数24.91%；基本面指数平均36.44%，中位数33.52%；量化定向指数平均33.54%，中位数28.14%；市场中性指数平均8.04%，中位数5.34%。VisionTrack不生成加密对冲基金成分的详细业绩排名。</w:t>
      </w:r>
    </w:p>
    <w:p>
      <w:pPr>
        <w:pStyle w:val="正文内容"/>
        <w:spacing w:before="0" w:after="0" w:line="240" w:lineRule="auto"/>
        <w:ind w:left="0" w:right="0" w:firstLine="560"/>
        <w:jc w:val="both"/>
      </w:pPr>
      <w:r>
        <w:rPr>
          <w:rFonts w:ascii="Times New Roman" w:hAnsi="Times New Roman" w:cs="Times New Roman" w:eastAsia="仿宋"/>
          <w:b w:val="0"/>
          <w:sz w:val="28"/>
        </w:rPr>
        <w:t>以下业绩四分位分析可为基金管理人和资金配置方提供各类基金的风险与回报特征参考，其分类遵循VisionTrack指数的底层方法：综合型、基本面型、量化方向型、市场中性型。为使历史基金业绩更具包容性，我们对成分基金进行了调整，纳入了部分独立管理账户（SMA）。要进入四分位分析，基金必须报告净费用后收益，并提供给定时间范围内的完整月度业绩细节。月度数据不完整的加密基金策略将被排除。</w:t>
      </w:r>
    </w:p>
    <w:p>
      <w:pPr>
        <w:pStyle w:val="正文内容"/>
        <w:spacing w:before="0" w:after="0" w:line="240" w:lineRule="auto"/>
        <w:ind w:left="0" w:right="0" w:firstLine="560"/>
        <w:jc w:val="both"/>
      </w:pPr>
      <w:r>
        <w:rPr>
          <w:rFonts w:ascii="Times New Roman" w:hAnsi="Times New Roman" w:cs="Times New Roman" w:eastAsia="仿宋"/>
          <w:b w:val="0"/>
          <w:sz w:val="28"/>
        </w:rPr>
        <w:t>VisionTrack加密对冲基金业绩四分位表 来源：VisionTrack 9 2024年机构加密对冲基金与风险投资报告基金资产管理规模（AUM）与策略类型 2022年Q1 2022年Q2 2022年Q3 2022年Q4 2023年Q1 2023年Q2 2023年Q3 2023年Q4 平均AUM（百万美元） 对冲基金基本面型 487.88 226.14 238.71 123.73 97.50 99.97 96.57 159.17 对冲基金市场中性型 82.40 76.72 72.80 53.56 56.67 58.00 56.27 67.90 对冲基金量化方向型 44.44 38.40 29.71 22.25 24.50 23.58 36.29 67.19 中位数AUM（百万美元） 对冲基金基本面型 79.19 50.42 50.00 32.14 25.36 25.00 25.00 34.05 对冲基金市场中性型 50.15 47.16 46.12 28.00 25.00 25.00 21.89 40.00 对冲基金量化方向型 14.00 14.80 12.98 10.00 10.00 10.00 15.00 17.00 数据来源：VisionTrack截至2024年1月17日。机构流动性基金价值中，被动/贝塔产品占比最高，为VisionTrack自2021年11月开始跟踪AUM以来的最高份额。在636.7亿美元中，约328亿美元由Grayscale的BTC和ETH信托持有。截至12月底，前十大被动/贝塔产品合计持有377亿美元AUM。</w:t>
      </w:r>
    </w:p>
    <w:p>
      <w:pPr>
        <w:pStyle w:val="正文内容"/>
        <w:spacing w:before="0" w:after="0" w:line="240" w:lineRule="auto"/>
        <w:ind w:left="0" w:right="0" w:firstLine="560"/>
        <w:jc w:val="both"/>
      </w:pPr>
      <w:r>
        <w:rPr>
          <w:rFonts w:ascii="Times New Roman" w:hAnsi="Times New Roman" w:cs="Times New Roman" w:eastAsia="仿宋"/>
          <w:b w:val="0"/>
          <w:sz w:val="28"/>
        </w:rPr>
        <w:t>对于基本面型基金，中位数规模在年内温和增长至3405万美元，为年内最高值，但与2021年初相比仍较小。量化方向型基金在年末录得可观增长，中位数规模达4000万美元。市场中性型基金年末录得历史最高中位数规模1700万美元，对该类基金而言是一项显著成就。尽管加密专属流动性对冲基金AUM在2023年第四季度加速增长，但前20大流动性对冲基金仍持有约71.6%的对冲基金总AUM。2022年末这一比率为75%，表明净新基金正在增长加密对冲基金市场，这是一个轻微积极信号。然而，对于面临2022年困难局面和上一周期新对冲基金浪潮的顶级加密基金管理人而言，流动性策略的募资面临诸多挑战。</w:t>
      </w:r>
    </w:p>
    <w:p>
      <w:pPr>
        <w:pStyle w:val="正文内容"/>
        <w:spacing w:before="0" w:after="0" w:line="240" w:lineRule="auto"/>
        <w:ind w:left="0" w:right="0" w:firstLine="560"/>
        <w:jc w:val="both"/>
      </w:pPr>
      <w:r>
        <w:rPr>
          <w:rFonts w:ascii="Times New Roman" w:hAnsi="Times New Roman" w:cs="Times New Roman" w:eastAsia="仿宋"/>
          <w:b w:val="0"/>
          <w:sz w:val="28"/>
        </w:rPr>
        <w:t>AUM/资金流 尽管2023年前三个季度基金管理人难以超越被动/贝塔产品，但同比处于前两个四分位数的基金管理人在2023年末仍实现了AUM增长。虽然VisionTrack目前不收集申购/赎回细节，但我们按策略每月收集AUM。如果某策略的AUM增长超过所报告的总业绩，则可以认为管理人出现了申购增长。VisionTrack收集的数据显示，2023年2月至9月，许多基金管理人的加密对冲基金规模趋于平稳。但从9月到12月，加密对冲基金总AUM从107.5亿美元增长41.62%至152.2亿美元。基本面型策略增幅最大，同期总AUM从78.2亿美元跃升至114.6亿美元。量化方向型策略年末AUM约为18.1亿美元，市场中性型基金增长至19.7亿美元。</w:t>
      </w:r>
    </w:p>
    <w:p>
      <w:pPr>
        <w:pStyle w:val="正文内容"/>
        <w:spacing w:before="0" w:after="0" w:line="240" w:lineRule="auto"/>
        <w:ind w:left="0" w:right="0" w:firstLine="560"/>
        <w:jc w:val="both"/>
      </w:pPr>
      <w:r>
        <w:rPr>
          <w:rFonts w:ascii="Times New Roman" w:hAnsi="Times New Roman" w:cs="Times New Roman" w:eastAsia="仿宋"/>
          <w:b w:val="0"/>
          <w:sz w:val="28"/>
        </w:rPr>
        <w:t>被动/贝塔产品（包括单资产工具和多资产指数产品）保持加密基金市场的主导地位。从9月底到12月底，所有流动性基金策略的AUM从417.3亿美元增长至636.7亿美元。年末被动/贝塔产品持有约76%的份额。加密对冲基金平均与中位数AUM按季度划分 来源：VisionTrack 10 2024年机构加密对冲基金与风险投资报告全球流动性加密策略月度AUM 来源：VisionTrack 数据来源：VisionTrack， Galaxy Asset Management， Bloomberg 全球流动性加密策略AUM份额 来源：VisionTrack 数据来源：VisionTrack， Galaxy Asset Management， Bloomberg</w:t>
      </w:r>
    </w:p>
    <w:p>
      <w:pPr>
        <w:pStyle w:val="正文内容"/>
        <w:spacing w:before="0" w:after="0" w:line="240" w:lineRule="auto"/>
        <w:ind w:left="0" w:right="0" w:firstLine="560"/>
        <w:jc w:val="both"/>
      </w:pPr>
      <w:r>
        <w:rPr>
          <w:rFonts w:ascii="Times New Roman" w:hAnsi="Times New Roman" w:cs="Times New Roman" w:eastAsia="仿宋"/>
          <w:b w:val="0"/>
          <w:sz w:val="28"/>
        </w:rPr>
        <w:t>年度来看，2023年全球加密/区块链风险投资公司通过58只基金筹集了57.5亿美元，低于2022年创纪录的262只基金、377亿美元。纵观全球风险投资格局，根据PitchBook数据，所有行业的VC基金筹集总额从2022年的2986.5亿美元下降45.51%至2023年的1627.3亿美元。将加密风险投资公司占全球风险投资募资的比例进行比较，加密基金约占全球募资的3.53%，低于2022年的12.62%高点。风险投资募资也低于2021年的份额（5.65%），但高于所有此前年份。2017年至2023年*全球总筹集金额（十亿美元）：186.12、320.82、260.83、233.53、363.50、298.65、162.73；基金数量：2400、2796、2497、2612、3365、2532、1279。美国总筹集金额（十亿美元）：46.80、74.69、74.09、92.70、168.36、172.87、68.40；基金数量：630、757、742、878、1431、1234、425。全球区块链/加密总筹集金额（十亿美元）：0.57、3.30、2.67、1.95、20.55、37.70、5.75；基金数量：25、46、23、33、158、262、58。</w:t>
      </w:r>
    </w:p>
    <w:p>
      <w:pPr>
        <w:pStyle w:val="正文内容"/>
        <w:spacing w:before="0" w:after="0" w:line="240" w:lineRule="auto"/>
        <w:ind w:left="0" w:right="0" w:firstLine="560"/>
        <w:jc w:val="both"/>
      </w:pPr>
      <w:r>
        <w:rPr>
          <w:rFonts w:ascii="Times New Roman" w:hAnsi="Times New Roman" w:cs="Times New Roman" w:eastAsia="仿宋"/>
          <w:b w:val="0"/>
          <w:sz w:val="28"/>
        </w:rPr>
        <w:t>风险投资募资 风险投资策略通常在加密需求达到顶峰时（即估值较高且顶级加密货币表现良好时）进行募资。随着估值降温，机构配置和兴趣下降，加密风险投资策略的募资变得具有挑战性。自2022年第三季度以来，加密风险投资募资在很大程度上如此，因为被动/贝塔产品在2023年占据主导地位。按地域和行业划分的风险投资募资 来源：VisionTrack 2017年至2023年*区块链/加密基金筹集金额占全球比例：0.31%、1.03%、1.03%、0.84%、5.65%、12.62%、3.53%；基金数量占全球比例：1.04%、1.65%、0.92%、1.26%、4.70%、10.35%、4.53%；区块链/加密基金筹集金额占美国比例：1.23%、4.42%、3.61%、2.10%、12.21%、21.81%、8.40%；基金数量占美国比例：3.97%、6.08%、3.10%、3.76%、11.04%、21.23%、13.65%。数据来源：PitchBook Data， VisionTrack截至2023年12月31日。</w:t>
      </w:r>
    </w:p>
    <w:p>
      <w:pPr>
        <w:pStyle w:val="正文内容"/>
        <w:spacing w:before="0" w:after="0" w:line="240" w:lineRule="auto"/>
        <w:ind w:left="0" w:right="0" w:firstLine="560"/>
        <w:jc w:val="both"/>
      </w:pPr>
      <w:r>
        <w:rPr>
          <w:rFonts w:ascii="Times New Roman" w:hAnsi="Times New Roman" w:cs="Times New Roman" w:eastAsia="仿宋"/>
          <w:b w:val="0"/>
          <w:sz w:val="28"/>
        </w:rPr>
        <w:t>正如VisionTrack过去几个季度的多份研究报告所述，风险投资在加密领域直到2021年才成为主要基金工具。尽管2023年募资数据惨淡，但该策略类型自2021年前的水平以来已取得进一步进展。由于市场在2023年大部分时间聚焦于被动/贝塔单资产和多资产指数产品，加密风险投资很可能在加密原生配置者于2024年晚些时候转向风险投资基金产品时回归。风险投资基金对区块链/加密生态系统的发展至关重要，因为它们不仅通过私人市场估值的季度标记提供下行保护，还是新公司的主要资本来源。尽管历史上只有一次真正的低迷期（期间加密风险投资基金大规模筹资），我们预计较大的加密风险投资公司将在2024年携新基金回归。2023年第四季度，7只基金筹集了6.89亿美元，为2020年第三季度以来的最低水平。即使考虑到2023年第四季度，2022年第二季度筹集的资本（155.8亿美元）仍超过随后所有季度的总和。多个主要风险投资支持的初创公司在2022年的倒闭，包括一些最知名传统风险投资公司支持的公司，持续抑制资金配置者对该领域的投资。</w:t>
      </w:r>
    </w:p>
    <w:p>
      <w:pPr>
        <w:pStyle w:val="正文内容"/>
        <w:spacing w:before="0" w:after="0" w:line="240" w:lineRule="auto"/>
        <w:ind w:left="0" w:right="0" w:firstLine="560"/>
        <w:jc w:val="both"/>
      </w:pPr>
      <w:r>
        <w:rPr>
          <w:rFonts w:ascii="Times New Roman" w:hAnsi="Times New Roman" w:cs="Times New Roman" w:eastAsia="仿宋"/>
          <w:b w:val="0"/>
          <w:sz w:val="28"/>
        </w:rPr>
        <w:t>在考虑为区块链/加密行业募资的风险投资公司的投资者构成时，加密原生公司约占2023年关闭基金的72%，传统投资者则支持了该行业的募资。平均每年，加密原生公司关闭81%的专门用于加密风险投资的基金。传统投资者在2022年获得最大份额，当时加密原生公司仅关闭了71%的基金。考虑到过去五年资金配置者的周期性轮换，风险投资基金的预期是加密原生和传统投资者将在2024年年中带着新基金重返市场。考虑到加密风险投资公司的跑道，这一募资周期将对行业至关重要。迄今为止，很少有基金专注于后期阶段交易，许多基金将注意力集中在早期阶段活动。对于自2022年以来及贯穿2023年进行部署的基金，许多风险投资支持的企业将处于其公司生命周期的更靠后阶段，这表明后期轮次应该即将到来。</w:t>
      </w:r>
    </w:p>
    <w:p>
      <w:pPr>
        <w:pStyle w:val="正文内容"/>
        <w:spacing w:before="0" w:after="0" w:line="240" w:lineRule="auto"/>
        <w:ind w:left="0" w:right="0" w:firstLine="560"/>
        <w:jc w:val="both"/>
      </w:pPr>
      <w:r>
        <w:rPr>
          <w:rFonts w:ascii="Times New Roman" w:hAnsi="Times New Roman" w:cs="Times New Roman" w:eastAsia="仿宋"/>
          <w:b w:val="0"/>
          <w:sz w:val="28"/>
        </w:rPr>
        <w:t>为了更好地促进投资组合公司进入下一阶段，预计后续将筹集后期基金以支持这些公司。对于加密风险投资基金而言，这将是所筹集基金类型的重要一步。从历史上看，由于区块链/加密市场不如传统风险投资市场强劲，强制性后期加密风险基金的筹集很少见。从VisionTrack收集的数据发现，过去10年筹集的785只加密专属风险基金中，有90只名为“基金II”、“基金III”或更高。这表明近90%的加密专属风险基金是加密原生公司和传统投资者首次涉足加密领域的基金。</w:t>
      </w:r>
    </w:p>
    <w:p>
      <w:pPr>
        <w:pStyle w:val="正文内容"/>
        <w:spacing w:before="0" w:after="0" w:line="240" w:lineRule="auto"/>
        <w:ind w:left="0" w:right="0" w:firstLine="560"/>
        <w:jc w:val="both"/>
      </w:pPr>
      <w:r>
        <w:rPr>
          <w:rFonts w:ascii="Times New Roman" w:hAnsi="Times New Roman" w:cs="Times New Roman" w:eastAsia="仿宋"/>
          <w:b w:val="0"/>
          <w:sz w:val="28"/>
        </w:rPr>
        <w:t>根据Galaxy Research收集的数据，2023年加密风险投资交易活动涉及交易总额98亿美元，共1998笔交易。年度总额低于3795笔交易、总价值319亿美元的水平。第四季度，风险投资交易活动持续低迷，359笔交易总额为19.2亿美元。考虑到早期报告的细节，2023年第四季度的交易数量是自2020年第二季度（301笔）以来的最低水平，交易数量自2022年第一季度（1331笔）的峰值以来逐季放缓。随着该领域资本持续受限，基金部署能力达到上限，后期赢家占据了剩余基金价值。</w:t>
      </w:r>
    </w:p>
    <w:p>
      <w:pPr>
        <w:pStyle w:val="正文内容"/>
        <w:spacing w:before="0" w:after="0" w:line="240" w:lineRule="auto"/>
        <w:ind w:left="0" w:right="0" w:firstLine="560"/>
        <w:jc w:val="both"/>
      </w:pPr>
      <w:r>
        <w:rPr>
          <w:rFonts w:ascii="Times New Roman" w:hAnsi="Times New Roman" w:cs="Times New Roman" w:eastAsia="仿宋"/>
          <w:b w:val="0"/>
          <w:sz w:val="28"/>
        </w:rPr>
        <w:t>2023年第四季度，后期风险投资交易占交易数量的14.48%，占交易价值的15.83%。从历史来看，这是按阶段划分的季度后期交易比例最高的一次。相反，种子前阶段交易在2023年第四季度大幅下降，仅记录了359笔总交易中的32笔。种子前阶段交易数量仅占8.91%，为2016年第一季度以来的最低水平。种子前交易占2023年第四季度交易价值的15.43%，低于2016年第一季度以来19.14%的季度平均水平。正如我们在2023年中期报告中所指出的，风险投资家正在利用后期交易估值并支持有价值的投资组合公司。</w:t>
      </w:r>
    </w:p>
    <w:p>
      <w:pPr>
        <w:pStyle w:val="正文内容"/>
        <w:spacing w:before="0" w:after="0" w:line="240" w:lineRule="auto"/>
        <w:ind w:left="0" w:right="0" w:firstLine="560"/>
        <w:jc w:val="both"/>
      </w:pPr>
      <w:r>
        <w:rPr>
          <w:rFonts w:ascii="Times New Roman" w:hAnsi="Times New Roman" w:cs="Times New Roman" w:eastAsia="仿宋"/>
          <w:b w:val="0"/>
          <w:sz w:val="28"/>
        </w:rPr>
        <w:t>由于加密风险投资融资市场在过去六个季度中一直举步维艰，顶级投资组合公司的整合并不意外。年度顶级交易包括Wormhole（2.25亿美元）、Line Next（1.4亿美元）、Blockstream（1.25亿美元）、LayerZero（1.2亿美元）和Worldcoin（1.15亿美元），这些基本上都是后期交易。考虑到2023年的顶级交易，只有8笔交易价值超过1亿美元。2023年没有一笔交易在加密风险投资交易过去十年的前50名中创下创纪录的交易价值。简而言之，风险投资交易活动远未达到历史水平。</w:t>
      </w:r>
    </w:p>
    <w:p>
      <w:pPr>
        <w:pStyle w:val="正文内容"/>
        <w:spacing w:before="0" w:after="0" w:line="240" w:lineRule="auto"/>
        <w:ind w:left="0" w:right="0" w:firstLine="560"/>
        <w:jc w:val="both"/>
      </w:pPr>
      <w:r>
        <w:rPr>
          <w:rFonts w:ascii="Times New Roman" w:hAnsi="Times New Roman" w:cs="Times New Roman" w:eastAsia="仿宋"/>
          <w:b w:val="0"/>
          <w:sz w:val="28"/>
        </w:rPr>
        <w:t>加密风险投资交易的中位交易规模从第三季度的325万美元下降至第四季度的300万美元。对于所有交易，自2016年以来的历史中位数为140万美元。积极的一面是，过去12个季度都超过了这一中位交易价值。自2016年以来，只有三个季度的中位交易规模超过300万美元，这表明尽管交易数量和交易价值下降，早期交易仍然更加昂贵。换言之，加密风险投资者自2016年以来不仅提高了最低支票规模，而且逐年更加注重战略部署。此外，几个季度以来首次，所有风险投资的中位交易规模超过了加密风险投资，这表明加密公司的估值已经下降。</w:t>
      </w:r>
    </w:p>
    <w:p>
      <w:pPr>
        <w:pStyle w:val="正文内容"/>
        <w:spacing w:before="0" w:after="0" w:line="240" w:lineRule="auto"/>
        <w:ind w:left="0" w:right="0" w:firstLine="560"/>
        <w:jc w:val="both"/>
      </w:pPr>
      <w:r>
        <w:rPr>
          <w:rFonts w:ascii="Times New Roman" w:hAnsi="Times New Roman" w:cs="Times New Roman" w:eastAsia="仿宋"/>
          <w:b w:val="0"/>
          <w:sz w:val="28"/>
        </w:rPr>
        <w:t>在估值方面，中位投资前估值从第三季度的2113万美元下降至第四季度的1080万美元，这主要归因于交易数量减少。中位投资后估值也从第三季度的2800万美元下降至第四季度的1400万美元。中位投资前和投资后估值的显著下降，加上融资匮乏，表明对于风险投资支持较少的公司，估值更为保守，而顶级投资组合公司则以低于历史估值的水平进行整合。这并不构成现有投资组合公司的估值下调，而是后期新公司经历了较低的历史估值。对于加密风险投资者而言，这是一个积极信号。对于风险投资支持的加密公司而言，情况则略有不同。</w:t>
      </w:r>
    </w:p>
    <w:p>
      <w:pPr>
        <w:pStyle w:val="正文内容"/>
        <w:spacing w:before="0" w:after="0" w:line="240" w:lineRule="auto"/>
        <w:ind w:left="0" w:right="0" w:firstLine="560"/>
        <w:jc w:val="both"/>
      </w:pPr>
      <w:r>
        <w:rPr>
          <w:rFonts w:ascii="Times New Roman" w:hAnsi="Times New Roman" w:cs="Times New Roman" w:eastAsia="仿宋"/>
          <w:b w:val="0"/>
          <w:sz w:val="28"/>
        </w:rPr>
        <w:t>两家投资巨头与基础设施提供商Oasis Pro和Provenance Blockchain合作开展“守护者计划”（Project Guardian），利用私有区块链管理代币化资产和基金产品。加密货币对冲基金和风险投资行业是否会朝同样的运营方向发展，我们拭目以待。当像Metamask、Magic Eden和Audius这样的公司被纳入风险投资交易活动时，随着越来越多的金融科技（FinTech）和传统金融服务公司整合区块链/加密货币基础设施（blockchain/crypto infrastructure）及Web3商业模式，在报告数据中应披露是否排除了这些公司。</w:t>
      </w:r>
    </w:p>
    <w:p>
      <w:pPr>
        <w:pStyle w:val="正文内容"/>
        <w:spacing w:before="0" w:after="0" w:line="240" w:lineRule="auto"/>
        <w:ind w:left="0" w:right="0" w:firstLine="560"/>
        <w:jc w:val="both"/>
      </w:pPr>
      <w:r>
        <w:rPr>
          <w:rFonts w:ascii="Times New Roman" w:hAnsi="Times New Roman" w:cs="Times New Roman" w:eastAsia="仿宋"/>
          <w:b w:val="0"/>
          <w:sz w:val="28"/>
        </w:rPr>
        <w:t>尽管Stripe可能并非加密货币原生公司且无加密货币原生的支持，但该公司正在整合基础设施和技术以获取重要市场份额。这对风险投资支持的加密货币企业而言是一个重要考量。由于数据收集缺乏标准化，风险投资交易数据可能存在不准确之处。第三方数据公司、基金管理人及估值专家都在此问题上努力。然而，这种碎片化使人们对加密货币风险投资基金的最终表现产生质疑。此外，优质信息的缺失限制了投资者基础，抑制了更多加密货币风险资本交易的达成。</w:t>
      </w:r>
    </w:p>
    <w:p>
      <w:pPr>
        <w:pStyle w:val="正文内容"/>
        <w:spacing w:before="0" w:after="0" w:line="240" w:lineRule="auto"/>
        <w:ind w:left="0" w:right="0" w:firstLine="560"/>
        <w:jc w:val="both"/>
      </w:pPr>
      <w:r>
        <w:rPr>
          <w:rFonts w:ascii="Times New Roman" w:hAnsi="Times New Roman" w:cs="Times New Roman" w:eastAsia="仿宋"/>
          <w:b w:val="0"/>
          <w:sz w:val="28"/>
        </w:rPr>
        <w:t>关于链上基金（On-Chain Funds）的信息质量：对于机构加密货币投资者而言，2023年无疑是重建之年，重点在于恢复市场信心和测试新产品。尽管并非新事物，但代币化基金产品（tokenized fund offerings）和现实世界资产（real-world assets）在低成交量和低波动期间维持了投资者的兴趣。机构质押产品（institutional staking products），以及代币化货币市场基金（tokenized money market funds）和短期代币化国债（short-term tokenized treasuries）的日益普及，为投资者提供了缓解稳定币风险的便捷操作产品。2023年3月的银行流动性危机促使投资者寻求稳定币以外的现金等价物解决方案，吸引了活跃的主动型基金经理关注这些金融服务。加密货币对冲基金在过去已有代币化投资策略，但该模式仍面临诸多挑战，且用例并不常见。尽管许多公司尝试将此类产品推向市场，但预计未来几年将有更多另类投资基金工具上链。</w:t>
      </w:r>
    </w:p>
    <w:p>
      <w:pPr>
        <w:pStyle w:val="正文内容"/>
        <w:spacing w:before="0" w:after="0" w:line="240" w:lineRule="auto"/>
        <w:ind w:left="0" w:right="0" w:firstLine="560"/>
        <w:jc w:val="both"/>
      </w:pPr>
      <w:r>
        <w:rPr>
          <w:rFonts w:ascii="Times New Roman" w:hAnsi="Times New Roman" w:cs="Times New Roman" w:eastAsia="仿宋"/>
          <w:b w:val="0"/>
          <w:sz w:val="28"/>
        </w:rPr>
        <w:t>贝恩公司（Bain）2023年底的报告表明，另类投资的代币化（tokenization of alternative investment）——主动管理策略（Actively managed strategies）对于机构加密货币的发展至关重要。对冲基金和风险投资基金共同为更广泛的加密货币用例的开发和应用提供支持系统。虽然业绩很重要，但投资工具为在2022年充满复杂性的行业提供了流动性和机会。</w:t>
      </w:r>
    </w:p>
    <w:p>
      <w:pPr>
        <w:pStyle w:val="正文内容"/>
        <w:spacing w:before="0" w:after="0" w:line="240" w:lineRule="auto"/>
        <w:ind w:left="0" w:right="0" w:firstLine="560"/>
        <w:jc w:val="both"/>
      </w:pPr>
      <w:r>
        <w:rPr>
          <w:rFonts w:ascii="Times New Roman" w:hAnsi="Times New Roman" w:cs="Times New Roman" w:eastAsia="仿宋"/>
          <w:b w:val="0"/>
          <w:sz w:val="28"/>
        </w:rPr>
        <w:t>2023年的大部分时间可总结为许多加密货币对冲基金和风险投资公司的艰难时期，因为被动/贝塔产品（passive/beta products）主导了市场。正如过往周期所见，专注于勤勉提供机构级基金产品、且通常得到加密货币原生有限合伙人（crypto-native LPs）支持的管理人将存活下来，并在市场反弹中获益。从配置者角度看，与加密货币原生投资者相比，机构配置者往往难以通过合适的基金工具把握市场时机，因为即时的市场力量将配置者置于“当前趋势”中。摆脱零配置很重要，且通常是配置者的第一步。然而，这些基金策略的吸引力在市场下行时更为明显。例如，去年夏天是考虑中小盘基本面方向和量化方向敞口的好时机。如果单一资产现货产品在2024年初表现良好，那么下半年市场兴趣和热情向市场中性及风险投资基金产品轮动将不足为奇。</w:t>
      </w:r>
    </w:p>
    <w:p>
      <w:pPr>
        <w:pStyle w:val="正文内容"/>
        <w:spacing w:before="0" w:after="0" w:line="240" w:lineRule="auto"/>
        <w:ind w:left="0" w:right="0" w:firstLine="560"/>
        <w:jc w:val="both"/>
      </w:pPr>
      <w:r>
        <w:rPr>
          <w:rFonts w:ascii="Times New Roman" w:hAnsi="Times New Roman" w:cs="Times New Roman" w:eastAsia="仿宋"/>
          <w:b w:val="0"/>
          <w:sz w:val="28"/>
        </w:rPr>
        <w:t>结论与展望（Conclusion &amp; Outlook）：如果您是数字资产基金经理，并希望将您的业绩结果提交给VisionTrack以纳入我们的VisionTrack指数，请联系我们：visiontrack@galaxy.com。有关更新后的方法论及可下载的月度数据，请访问我们的网站：https://visiontrack.galaxy.com。联系方式（Contact Us）。</w:t>
      </w:r>
    </w:p>
    <w:p>
      <w:pPr>
        <w:pStyle w:val="正文内容"/>
        <w:spacing w:before="0" w:after="0" w:line="240" w:lineRule="auto"/>
        <w:ind w:left="0" w:right="0" w:firstLine="560"/>
        <w:jc w:val="both"/>
      </w:pPr>
      <w:r>
        <w:rPr>
          <w:rFonts w:ascii="Times New Roman" w:hAnsi="Times New Roman" w:cs="Times New Roman" w:eastAsia="仿宋"/>
          <w:b w:val="0"/>
          <w:sz w:val="28"/>
        </w:rPr>
        <w:t>[1] BLOOMBERG是Bloomberg Finance L.P.的商标或服务标志。GALAXY是GDCM的商标。Bloomberg Finance L.P.及其关联公司（合称“Bloomberg”）与GDCM、基金及其各自关联公司（合称“Galaxy”）无关联。Bloomberg与Galaxy的合作关系是作为CFIX指数（“指数”）的管理人和计算代理人，该指数归Bloomberg所有。Bloomberg和Galaxy均不保证与指数或所获结果相关的任何数据或信息的及时性、准确性或完整性。Bloomberg和Galaxy均不对指数、与之相关的任何数据或数值，或任何与之挂钩、以其为组成部分或基于该指数的金融产品或工具（“产品”）或从中获得的结果作出任何明示或暗示的保证，并明确否认所有关于适销性和特定用途适用性的保证。在法律允许的最大范围内，Bloomberg、其许可方、Galaxy及其各自的员工、承包商、代理人、供应商和供应商均不对因指数、与之相关的任何数据或数值或任何产品（无论是由于他们的疏忽还是其他原因）引起的任何直接、间接、附带、后果性、惩罚性或其他损害承担任何责任。</w:t>
      </w:r>
    </w:p>
    <w:p>
      <w:pPr>
        <w:pStyle w:val="正文内容"/>
        <w:spacing w:before="0" w:after="0" w:line="240" w:lineRule="auto"/>
        <w:ind w:left="0" w:right="0" w:firstLine="560"/>
        <w:jc w:val="both"/>
      </w:pPr>
      <w:r>
        <w:rPr>
          <w:rFonts w:ascii="Times New Roman" w:hAnsi="Times New Roman" w:cs="Times New Roman" w:eastAsia="仿宋"/>
          <w:b w:val="0"/>
          <w:sz w:val="28"/>
        </w:rPr>
        <w:t>证券交易通过Galaxy Digital Partners LLC进行，该公司是FINRA和SIPC的成员。VisionTrack数据仪表盘和VisionTrack数据库仅供信息参考，不应作为任何投资决策的依据。本文档提供指向我们认为您可能感兴趣的其他网站的链接。请注意，当您点击其中某个链接时，您可能会跳转到与Galaxy无关的提供商网站。我们无法控制这些链接网站及其提供商，并且不对任何链接网站的内容或正常运行负责。包含任何链接并不表示我们认可或采纳其中的陈述。我们建议您阅读这些链接网站的使用条款和隐私声明，因为其政策可能与我们不同。</w:t>
      </w:r>
    </w:p>
    <w:p>
      <w:pPr>
        <w:pStyle w:val="正文内容"/>
        <w:spacing w:before="0" w:after="0" w:line="240" w:lineRule="auto"/>
        <w:ind w:left="0" w:right="0" w:firstLine="560"/>
        <w:jc w:val="both"/>
      </w:pPr>
      <w:r>
        <w:rPr>
          <w:rFonts w:ascii="Times New Roman" w:hAnsi="Times New Roman" w:cs="Times New Roman" w:eastAsia="仿宋"/>
          <w:b w:val="0"/>
          <w:sz w:val="28"/>
        </w:rPr>
        <w:t>本文档及其所含信息由Galaxy Digital Holdings LP及其关联公司（“Galaxy”）仅为提供信息之目的提供给您。未经Galaxy明确的书面批准，不得以任何形式全部或部分复制或再分发本文档。本文档中的任何信息或观点均不构成购买或出售任何咨询服务、证券、期货、期权或其他金融工具的要约，或招揽此类要约，也不构成参与任何咨询服务或交易策略。本文档中的任何内容均不构成投资、法律或税务建议。您应自行对本文档中的信息进行调查和评估。基于本文档所含信息做出的任何决策均由读者自行承担全部责任。本文档中的某些陈述反映了Galaxy的观点、估计、意见或预测（可能基于专有模型和假设，特别是Galaxy对当前和未来某些数字资产市场的看法），并且无法保证这些观点、估计、意见或预测目前准确或最终得以实现。如果这些假设或模型不正确或情况发生变化，实际表现可能与本文档中的估计存在重大差异，且可能低于估计值。Galaxy或其任何关联公司、股东、合伙人、成员、董事、高管、管理层、员工或代表均未对任何信息或任何其他信息（无论是书面还是口头形式）的准确性或完整性作出任何明示或暗示的陈述或保证。上述各方明确否认与使用此信息相关的任何及所有责任。本文档中包含的某些信息（包括财务信息）来自已发布和未发布的来源。Galaxy未对此类信息进行独立核实，并且Galaxy不对其准确性承担责任。</w:t>
      </w:r>
    </w:p>
    <w:p>
      <w:pPr>
        <w:pStyle w:val="信息来源"/>
        <w:spacing w:before="50" w:after="100" w:line="240" w:lineRule="auto"/>
        <w:ind w:left="0" w:right="0" w:firstLine="0"/>
        <w:jc w:val="right"/>
      </w:pPr>
      <w:r>
        <w:rPr>
          <w:rFonts w:ascii="Times New Roman" w:hAnsi="Times New Roman" w:cs="Times New Roman" w:eastAsia="仿宋"/>
          <w:b w:val="0"/>
          <w:sz w:val="21"/>
        </w:rPr>
        <w:t>（信息来源：Galaxy Research）</w:t>
      </w:r>
    </w:p>
    <w:p>
      <w:pPr>
        <w:pStyle w:val="原文信息"/>
        <w:spacing w:before="0" w:after="0" w:line="240" w:lineRule="auto"/>
        <w:ind w:left="0" w:right="0" w:firstLine="0"/>
        <w:jc w:val="left"/>
      </w:pPr>
      <w:r>
        <w:rPr>
          <w:rFonts w:ascii="Times New Roman" w:hAnsi="Times New Roman" w:cs="Times New Roman" w:eastAsia="仿宋"/>
          <w:b w:val="0"/>
          <w:sz w:val="18"/>
        </w:rPr>
        <w:t>原文标题：Research â¢ January 24， 2024 2024 Institutional Crypto Hedge Fund &amp; Venture Report Funds Markets &amp; Macro</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原文链接：https://assets.ctfassets.net/h62aj7eo1csj/7uisK9OoSR9Zp3cV4Q2uyS/992a6e48b383d0dde6eb4570df3e811f/GLXY_2024_Whitepaper_VisionTrack-2024InstitutionalCrypto_final.pdf</w:t>
      </w:r>
    </w:p>
    <w:p>
      <w:pPr>
        <w:pStyle w:val="原文信息"/>
        <w:spacing w:before="0" w:after="0" w:line="240" w:lineRule="auto"/>
        <w:ind w:left="0" w:right="0" w:firstLine="0"/>
        <w:jc w:val="left"/>
      </w:pPr>
      <w:r>
        <w:rPr>
          <w:rFonts w:ascii="Times New Roman" w:hAnsi="Times New Roman" w:cs="Times New Roman" w:eastAsia="仿宋"/>
          <w:b w:val="0"/>
          <w:sz w:val="18"/>
        </w:rPr>
        <w:t>PDF文件：reports/2026/research_sources/20260604/Galaxy_Research_Research_January_24_2024_2024_Institutional_Crypto_Hedge_Fund_Venture_Report_Funds_Markets_Macro_ee2b1bc5.pdf</w:t>
      </w:r>
    </w:p>
    <w:sectPr w:rsidR="00FC693F" w:rsidRPr="0006063C" w:rsidSect="00034616">
      <w:pgSz w:w="12240" w:h="15840"/>
      <w:pgMar w:top="1440" w:right="1803" w:bottom="1440" w:left="1803" w:header="850" w:footer="992" w:gutter="0"/>
      <w:cols w:space="72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ind w:left="0" w:right="0" w:firstLine="0"/>
    </w:pPr>
    <w:rPr>
      <w:rFonts w:ascii="Times New Roman" w:hAnsi="Times New Roman" w:cs="Times New Roman" w:eastAsia="仿宋"/>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60" w:after="240" w:line="240" w:lineRule="auto"/>
      <w:ind w:left="0" w:right="0" w:firstLine="0"/>
      <w:outlineLvl w:val="0"/>
    </w:pPr>
    <w:rPr>
      <w:rFonts w:asciiTheme="majorHAnsi" w:eastAsiaTheme="majorEastAsia" w:hAnsiTheme="majorHAnsi" w:cstheme="majorBidi" w:ascii="Times New Roman" w:hAnsi="Times New Roman" w:cs="Times New Roman" w:eastAsia="黑体"/>
      <w:b/>
      <w:bCs/>
      <w:color w:val="2F5496"/>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文章一级标题">
    <w:name w:val="文章一级标题"/>
    <w:pPr>
      <w:spacing w:before="0" w:after="0" w:line="240" w:lineRule="auto"/>
      <w:ind w:left="0" w:right="0" w:firstLine="0"/>
      <w:jc w:val="center"/>
    </w:pPr>
    <w:rPr>
      <w:rFonts w:ascii="Times New Roman" w:hAnsi="Times New Roman" w:cs="Times New Roman" w:eastAsia="黑体"/>
      <w:sz w:val="30"/>
    </w:rPr>
  </w:style>
  <w:style w:type="paragraph" w:customStyle="1" w:styleId="正文内容">
    <w:name w:val="正文内容"/>
    <w:basedOn w:val="Normal"/>
    <w:pPr>
      <w:spacing w:before="0" w:after="0" w:line="240" w:lineRule="auto"/>
      <w:ind w:left="0" w:right="0" w:firstLine="560"/>
      <w:jc w:val="both"/>
    </w:pPr>
    <w:rPr>
      <w:rFonts w:ascii="Times New Roman" w:hAnsi="Times New Roman" w:cs="Times New Roman" w:eastAsia="仿宋"/>
      <w:sz w:val="28"/>
    </w:rPr>
  </w:style>
  <w:style w:type="paragraph" w:customStyle="1" w:styleId="信息来源">
    <w:name w:val="信息来源"/>
    <w:basedOn w:val="Normal"/>
    <w:pPr>
      <w:spacing w:before="50" w:after="100" w:line="240" w:lineRule="auto"/>
      <w:ind w:left="0" w:right="0" w:firstLine="0"/>
      <w:jc w:val="right"/>
    </w:pPr>
    <w:rPr>
      <w:rFonts w:ascii="Times New Roman" w:hAnsi="Times New Roman" w:cs="Times New Roman" w:eastAsia="仿宋"/>
      <w:sz w:val="21"/>
    </w:rPr>
  </w:style>
  <w:style w:type="paragraph" w:customStyle="1" w:styleId="原文信息">
    <w:name w:val="原文信息"/>
    <w:basedOn w:val="Normal"/>
    <w:pPr>
      <w:spacing w:before="0" w:after="0" w:line="240" w:lineRule="auto"/>
      <w:ind w:left="0" w:right="0" w:firstLine="0"/>
      <w:jc w:val="left"/>
    </w:pPr>
    <w:rPr>
      <w:rFonts w:ascii="Times New Roman" w:hAnsi="Times New Roman" w:cs="Times New Roman" w:eastAsia="仿宋"/>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专题研究_20260604</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