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加密公司与华尔街机构在意见截止前促SEC修订《加密资产监管规则》</w:t>
      </w:r>
    </w:p>
    <w:p>
      <w:pPr>
        <w:pStyle w:val="ListParagraph"/>
        <w:spacing w:before="0" w:after="0" w:line="360" w:lineRule="auto"/>
        <w:ind w:left="0" w:firstLine="0"/>
      </w:pPr>
      <w:r>
        <w:rPr>
          <w:rFonts w:ascii="Times New Roman" w:hAnsi="Times New Roman" w:cs="Times New Roman" w:eastAsia="楷体"/>
          <w:b w:val="0"/>
          <w:sz w:val="28"/>
        </w:rPr>
        <w:t>· 瑞士批准首只瑞士法律下直接投资比特币的零售ETF裁定交易量充足</w:t>
      </w:r>
    </w:p>
    <w:p>
      <w:pPr>
        <w:pStyle w:val="ListParagraph"/>
        <w:spacing w:before="0" w:after="0" w:line="360" w:lineRule="auto"/>
        <w:ind w:left="0" w:firstLine="0"/>
      </w:pPr>
      <w:r>
        <w:rPr>
          <w:rFonts w:ascii="Times New Roman" w:hAnsi="Times New Roman" w:cs="Times New Roman" w:eastAsia="楷体"/>
          <w:b w:val="0"/>
          <w:sz w:val="28"/>
        </w:rPr>
        <w:t>· 哈萨克斯坦关闭6家主要加密交易所的移动端访问</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马来西亚央行推出代币化债券分布式账本平台</w:t>
      </w:r>
    </w:p>
    <w:p>
      <w:pPr>
        <w:pStyle w:val="ListParagraph"/>
        <w:spacing w:before="0" w:after="0" w:line="360" w:lineRule="auto"/>
        <w:ind w:left="0" w:firstLine="0"/>
      </w:pPr>
      <w:r>
        <w:rPr>
          <w:rFonts w:ascii="Times New Roman" w:hAnsi="Times New Roman" w:cs="Times New Roman" w:eastAsia="楷体"/>
          <w:b w:val="0"/>
          <w:sz w:val="28"/>
        </w:rPr>
        <w:t>· 万事达卡开放AI智能体支付早期访问此前与Coinbase、Base、Cloudflare等六方完成端到端试点</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SuperLeague股东批准Metaplanet的2100枚比特币投资</w:t>
      </w:r>
    </w:p>
    <w:p>
      <w:pPr>
        <w:pStyle w:val="ListParagraph"/>
        <w:spacing w:before="0" w:after="0" w:line="360" w:lineRule="auto"/>
        <w:ind w:left="0" w:firstLine="0"/>
      </w:pPr>
      <w:r>
        <w:rPr>
          <w:rFonts w:ascii="Times New Roman" w:hAnsi="Times New Roman" w:cs="Times New Roman" w:eastAsia="楷体"/>
          <w:b w:val="0"/>
          <w:sz w:val="28"/>
        </w:rPr>
        <w:t>· BlackRock旗下IBIT比特币ETF单日净流入6.65亿美元为2025年10月以来最高</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摩根大通模型给出比特币十年牛市情景385500美元尽管CEOJamieDimon持批评态度</w:t>
      </w:r>
    </w:p>
    <w:p>
      <w:pPr>
        <w:pStyle w:val="ListParagraph"/>
        <w:spacing w:before="0" w:after="0" w:line="360" w:lineRule="auto"/>
        <w:ind w:left="0" w:firstLine="0"/>
      </w:pPr>
      <w:r>
        <w:rPr>
          <w:rFonts w:ascii="Times New Roman" w:hAnsi="Times New Roman" w:cs="Times New Roman" w:eastAsia="楷体"/>
          <w:b w:val="0"/>
          <w:sz w:val="28"/>
        </w:rPr>
        <w:t>· Tether回应参议员调查报告忽略了推动伊朗相关交易量下降的正面工作</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加密公司与华尔街机构在意见截止前促SEC修订《加密资产监管规则》</w:t>
      </w:r>
    </w:p>
    <w:p>
      <w:pPr>
        <w:spacing w:before="0" w:after="0" w:line="240" w:lineRule="auto"/>
        <w:ind w:left="0" w:right="0" w:firstLine="0"/>
        <w:jc w:val="both"/>
      </w:pPr>
      <w:r>
        <w:rPr>
          <w:rFonts w:ascii="Times New Roman" w:hAnsi="Times New Roman" w:cs="Times New Roman" w:eastAsia="仿宋"/>
          <w:b w:val="0"/>
          <w:sz w:val="28"/>
        </w:rPr>
        <w:t>· SEC就拟议《加密资产监管规则》的公开意见征询于周二截止，迄今已收到超过100份意见。</w:t>
      </w:r>
    </w:p>
    <w:p>
      <w:pPr>
        <w:spacing w:before="0" w:after="0" w:line="240" w:lineRule="auto"/>
        <w:ind w:left="0" w:right="0" w:firstLine="0"/>
        <w:jc w:val="both"/>
      </w:pPr>
      <w:r>
        <w:rPr>
          <w:rFonts w:ascii="Times New Roman" w:hAnsi="Times New Roman" w:cs="Times New Roman" w:eastAsia="仿宋"/>
          <w:b w:val="0"/>
          <w:sz w:val="28"/>
        </w:rPr>
        <w:t>· Hyperliquid Policy Center敦促SEC采纳Reg Crypto，但要求调整空投处理方式，并称拟议安全港要求提供许多项目无法作出的认证。</w:t>
      </w:r>
    </w:p>
    <w:p>
      <w:pPr>
        <w:spacing w:before="0" w:after="0" w:line="240" w:lineRule="auto"/>
        <w:ind w:left="0" w:right="0" w:firstLine="0"/>
        <w:jc w:val="both"/>
      </w:pPr>
      <w:r>
        <w:rPr>
          <w:rFonts w:ascii="Times New Roman" w:hAnsi="Times New Roman" w:cs="Times New Roman" w:eastAsia="仿宋"/>
          <w:b w:val="0"/>
          <w:sz w:val="28"/>
        </w:rPr>
        <w:t>· AIMA和SIFMA分别要求修订；在CFTC方面，Hyperliquid Policy Center呼吁将算力永续合约引入美国。</w:t>
      </w:r>
    </w:p>
    <w:p>
      <w:pPr>
        <w:pStyle w:val="正文内容"/>
        <w:spacing w:before="0" w:after="0" w:line="240" w:lineRule="auto"/>
        <w:ind w:left="0" w:right="0" w:firstLine="560"/>
        <w:jc w:val="both"/>
      </w:pPr>
      <w:r>
        <w:rPr>
          <w:rFonts w:ascii="Times New Roman" w:hAnsi="Times New Roman" w:cs="Times New Roman" w:eastAsia="仿宋"/>
          <w:b w:val="0"/>
          <w:sz w:val="28"/>
        </w:rPr>
        <w:t>美国证券交易委员会（U.S. Securities and Exchange Commission，SEC）就拟议的《加密资产监管规则》（Regulation Crypto Assets，Reg Crypto）进行的公开意见征询于周二截止，迄今已收到超过100份意见。随着意见期结束，数字资产公司、华尔街机构和倡议团体正在就SEC应如何塑造金融创新的未来陈述主张。</w:t>
      </w:r>
    </w:p>
    <w:p>
      <w:pPr>
        <w:pStyle w:val="正文内容"/>
        <w:spacing w:before="0" w:after="0" w:line="240" w:lineRule="auto"/>
        <w:ind w:left="0" w:right="0" w:firstLine="560"/>
        <w:jc w:val="both"/>
      </w:pPr>
      <w:r>
        <w:rPr>
          <w:rFonts w:ascii="Times New Roman" w:hAnsi="Times New Roman" w:cs="Times New Roman" w:eastAsia="仿宋"/>
          <w:b w:val="0"/>
          <w:sz w:val="28"/>
        </w:rPr>
        <w:t>该拟议规则寻求为涉及数字资产的投资提供一条路径，使某些发行豁免遵守证券法。原文称，规则包括一项“初创企业豁免”（startup exemption），将使最高500万美元的发行豁免注册规则；还包括一项“融资豁免”（fundraising exemption），针对一年期内最高7500万美元的发行。</w:t>
      </w:r>
    </w:p>
    <w:p>
      <w:pPr>
        <w:pStyle w:val="正文内容"/>
        <w:spacing w:before="0" w:after="0" w:line="240" w:lineRule="auto"/>
        <w:ind w:left="0" w:right="0" w:firstLine="560"/>
        <w:jc w:val="both"/>
      </w:pPr>
      <w:r>
        <w:rPr>
          <w:rFonts w:ascii="Times New Roman" w:hAnsi="Times New Roman" w:cs="Times New Roman" w:eastAsia="仿宋"/>
          <w:b w:val="0"/>
          <w:sz w:val="28"/>
        </w:rPr>
        <w:t>Hyperliquid Policy Center在信中敦促SEC采纳Reg Crypto，但表示需要作出调整，以处理空投如何被对待的问题。该中心要求SEC将此前表述写入规则：如果空投不换取该资产任何东西，就不涉及金钱投资，因此不构成证券。该中心还认为，SEC拟议的安全港（safe harbor）过于有限，并在周一的一篇博客文章中表示：“该提案的新安全港要求提供一项许多项目无法作出的认证。”</w:t>
      </w:r>
    </w:p>
    <w:p>
      <w:pPr>
        <w:pStyle w:val="正文内容"/>
        <w:spacing w:before="0" w:after="0" w:line="240" w:lineRule="auto"/>
        <w:ind w:left="0" w:right="0" w:firstLine="560"/>
        <w:jc w:val="both"/>
      </w:pPr>
      <w:r>
        <w:rPr>
          <w:rFonts w:ascii="Times New Roman" w:hAnsi="Times New Roman" w:cs="Times New Roman" w:eastAsia="仿宋"/>
          <w:b w:val="0"/>
          <w:sz w:val="28"/>
        </w:rPr>
        <w:t>Alternative Investment Management Association（AIMA）也要求作出修订，包括提供信息以解释投资者的法律权利和风险，这些风险也可能延伸至管理人。AIMA在信中表示：“发行方还应将效用或经济敞口与所有权、赎回、现金流和合同权利区分开来。”AIMA还表示：“我们建议进行有针对性的事件报告，并明确处理确实无法获得的信息。”</w:t>
      </w:r>
    </w:p>
    <w:p>
      <w:pPr>
        <w:pStyle w:val="正文内容"/>
        <w:spacing w:before="0" w:after="0" w:line="240" w:lineRule="auto"/>
        <w:ind w:left="0" w:right="0" w:firstLine="560"/>
        <w:jc w:val="both"/>
      </w:pPr>
      <w:r>
        <w:rPr>
          <w:rFonts w:ascii="Times New Roman" w:hAnsi="Times New Roman" w:cs="Times New Roman" w:eastAsia="仿宋"/>
          <w:b w:val="0"/>
          <w:sz w:val="28"/>
        </w:rPr>
        <w:t>SEC还提出了一项期待已久的创新豁免（innovation exemption），该豁免在9月立即生效，为代币化股票（tokenized stocks）在链上交易打开大门。原文称，这是一项五年期豁免，将使某些被称为代币化证券交易场所（tokenized securities venues）的交易场所不被定义为交易所（exchange），并在其交易股票或通过自动做市商（automated market makers，AMM），即智能合约（smart contracts）提供流动性时，使特定流动性提供者不被定义为证券法下的交易商（dealer）。</w:t>
      </w:r>
    </w:p>
    <w:p>
      <w:pPr>
        <w:pStyle w:val="正文内容"/>
        <w:spacing w:before="0" w:after="0" w:line="240" w:lineRule="auto"/>
        <w:ind w:left="0" w:right="0" w:firstLine="560"/>
        <w:jc w:val="both"/>
      </w:pPr>
      <w:r>
        <w:rPr>
          <w:rFonts w:ascii="Times New Roman" w:hAnsi="Times New Roman" w:cs="Times New Roman" w:eastAsia="仿宋"/>
          <w:b w:val="0"/>
          <w:sz w:val="28"/>
        </w:rPr>
        <w:t>周一，Securities Industry and Financial Markets Association（SIFMA）表示，SEC需要立即处理投资者保护问题，并称应改变相关主体选择加入的方式。SIFMA在信中表示：“这项救济的五年期限提高了在开始时解决这些问题的重要性，因为早期设计选择将在任何永久框架被采纳之前很久就塑造市场实践。”</w:t>
      </w:r>
    </w:p>
    <w:p>
      <w:pPr>
        <w:pStyle w:val="正文内容"/>
        <w:spacing w:before="0" w:after="0" w:line="240" w:lineRule="auto"/>
        <w:ind w:left="0" w:right="0" w:firstLine="560"/>
        <w:jc w:val="both"/>
      </w:pPr>
      <w:r>
        <w:rPr>
          <w:rFonts w:ascii="Times New Roman" w:hAnsi="Times New Roman" w:cs="Times New Roman" w:eastAsia="仿宋"/>
          <w:b w:val="0"/>
          <w:sz w:val="28"/>
        </w:rPr>
        <w:t>SEC的姊妹机构美国商品期货交易委员会（Commodity Futures Trading Commission，CFTC）也在推进其规则。原文称，其关注点之一是永续期货（perpetual futures）。CFTC在8月批准了Kalshi和Coinbase的首批永续期货，首次为这些资产在美国交易打开大门。此后，出现推动美国石油永续期货的呼声，最近又出现对算力永续合约（compute perpetual contracts）的推动。</w:t>
      </w:r>
    </w:p>
    <w:p>
      <w:pPr>
        <w:pStyle w:val="正文内容"/>
        <w:spacing w:before="0" w:after="0" w:line="240" w:lineRule="auto"/>
        <w:ind w:left="0" w:right="0" w:firstLine="560"/>
        <w:jc w:val="both"/>
      </w:pPr>
      <w:r>
        <w:rPr>
          <w:rFonts w:ascii="Times New Roman" w:hAnsi="Times New Roman" w:cs="Times New Roman" w:eastAsia="仿宋"/>
          <w:b w:val="0"/>
          <w:sz w:val="28"/>
        </w:rPr>
        <w:t>在周二的一篇帖子中，Hyperliquid Policy Center表示，鉴于芯片、人工智能数据中心和其他网络设备投资对美国经济作出贡献，CFTC应将这些合约引入美国。该中心表示：“当价格上涨时，租用算力的开发者承担同样的风险，却没有广泛可用的对冲工具。”该中心还表示：“算力市场的定价仍然分散且很大程度上是私下的。”</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firms， Wall Street push SEC to revise Regulation Crypto Assets as comments close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原文链接：https://www.theblock.co/news/regulation/2026-10-20-sec-regulation-crypto-assets-comment-period-hyperliquid-sifma-aima-421444</w:t>
      </w:r>
    </w:p>
    <w:p/>
    <w:p>
      <w:pPr>
        <w:pStyle w:val="文章一级标题"/>
        <w:spacing w:before="0" w:after="0" w:line="240" w:lineRule="auto"/>
        <w:ind w:left="0" w:right="0" w:firstLine="0"/>
        <w:jc w:val="center"/>
      </w:pPr>
      <w:r>
        <w:rPr>
          <w:rFonts w:ascii="Times New Roman" w:hAnsi="Times New Roman" w:cs="Times New Roman" w:eastAsia="黑体"/>
          <w:b w:val="0"/>
          <w:sz w:val="30"/>
        </w:rPr>
        <w:t>瑞士批准首只瑞士法律下直接投资比特币的零售ETF裁定交易量充足</w:t>
      </w:r>
    </w:p>
    <w:p>
      <w:pPr>
        <w:spacing w:before="0" w:after="0" w:line="240" w:lineRule="auto"/>
        <w:ind w:left="0" w:right="0" w:firstLine="0"/>
        <w:jc w:val="both"/>
      </w:pPr>
      <w:r>
        <w:rPr>
          <w:rFonts w:ascii="Times New Roman" w:hAnsi="Times New Roman" w:cs="Times New Roman" w:eastAsia="仿宋"/>
          <w:b w:val="0"/>
          <w:sz w:val="28"/>
        </w:rPr>
        <w:t>· 瑞士金融监管机构FINMA批准首只在瑞士法律下直接投资比特币的零售交易所交易基金（ETF），并给予该基金一项分散化要求豁免。</w:t>
      </w:r>
    </w:p>
    <w:p>
      <w:pPr>
        <w:spacing w:before="0" w:after="0" w:line="240" w:lineRule="auto"/>
        <w:ind w:left="0" w:right="0" w:firstLine="0"/>
        <w:jc w:val="both"/>
      </w:pPr>
      <w:r>
        <w:rPr>
          <w:rFonts w:ascii="Times New Roman" w:hAnsi="Times New Roman" w:cs="Times New Roman" w:eastAsia="仿宋"/>
          <w:b w:val="0"/>
          <w:sz w:val="28"/>
        </w:rPr>
        <w:t>· FINMA表示，比特币较长的交易历史以及与其他加密货币相比尤其高的交易量，为这项例外提供了依据；托管保障与瑞士金融服务法（FinSA）下的销售义务仍然适用，比特币的价格风险仍由投资者承担。</w:t>
      </w:r>
    </w:p>
    <w:p>
      <w:pPr>
        <w:spacing w:before="0" w:after="0" w:line="240" w:lineRule="auto"/>
        <w:ind w:left="0" w:right="0" w:firstLine="0"/>
        <w:jc w:val="both"/>
      </w:pPr>
      <w:r>
        <w:rPr>
          <w:rFonts w:ascii="Times New Roman" w:hAnsi="Times New Roman" w:cs="Times New Roman" w:eastAsia="仿宋"/>
          <w:b w:val="0"/>
          <w:sz w:val="28"/>
        </w:rPr>
        <w:t>· 公告未点名发行方，也未披露费用安排或开始交易的日期。</w:t>
      </w:r>
    </w:p>
    <w:p>
      <w:pPr>
        <w:pStyle w:val="正文内容"/>
        <w:spacing w:before="0" w:after="0" w:line="240" w:lineRule="auto"/>
        <w:ind w:left="0" w:right="0" w:firstLine="560"/>
        <w:jc w:val="both"/>
      </w:pPr>
      <w:r>
        <w:rPr>
          <w:rFonts w:ascii="Times New Roman" w:hAnsi="Times New Roman" w:cs="Times New Roman" w:eastAsia="仿宋"/>
          <w:b w:val="0"/>
          <w:sz w:val="28"/>
        </w:rPr>
        <w:t>瑞士金融监管机构FINMA已批准首只在瑞士法律下直接投资比特币的零售交易所交易基金（ETF），并给予该基金一项分散化要求豁免，使其可以在保留托管与销售环节保障的前提下持有集中敞口。FINMA于10月20日的公告中公布了这一决定。</w:t>
      </w:r>
    </w:p>
    <w:p>
      <w:pPr>
        <w:pStyle w:val="正文内容"/>
        <w:spacing w:before="0" w:after="0" w:line="240" w:lineRule="auto"/>
        <w:ind w:left="0" w:right="0" w:firstLine="560"/>
        <w:jc w:val="both"/>
      </w:pPr>
      <w:r>
        <w:rPr>
          <w:rFonts w:ascii="Times New Roman" w:hAnsi="Times New Roman" w:cs="Times New Roman" w:eastAsia="仿宋"/>
          <w:b w:val="0"/>
          <w:sz w:val="28"/>
        </w:rPr>
        <w:t>FINMA在公告中给出的理由是：比特币拥有较长的交易历史，且与其他加密货币相比交易量尤其高，这使这项例外具备正当性。该基金被归入瑞士的“其他基金”类别，用于另类投资并带有特殊风险。这一法律结构使它与瑞士投资者熟悉的交易所交易产品（ETP）区别开来。</w:t>
      </w:r>
    </w:p>
    <w:p>
      <w:pPr>
        <w:pStyle w:val="正文内容"/>
        <w:spacing w:before="0" w:after="0" w:line="240" w:lineRule="auto"/>
        <w:ind w:left="0" w:right="0" w:firstLine="560"/>
        <w:jc w:val="both"/>
      </w:pPr>
      <w:r>
        <w:rPr>
          <w:rFonts w:ascii="Times New Roman" w:hAnsi="Times New Roman" w:cs="Times New Roman" w:eastAsia="仿宋"/>
          <w:b w:val="0"/>
          <w:sz w:val="28"/>
        </w:rPr>
        <w:t>根据公告，这项豁免使该零售基金可以集中投资于比特币，而无需满足适用的分散化要求。FINMA将该安排描述为针对此一个案的例外，赋予该基金在这一法律结构内持有集中敞口的许可。公告同时表示，该项豁免是在保留托管与销售环节保障的前提下给出的。</w:t>
      </w:r>
    </w:p>
    <w:p>
      <w:pPr>
        <w:pStyle w:val="正文内容"/>
        <w:spacing w:before="0" w:after="0" w:line="240" w:lineRule="auto"/>
        <w:ind w:left="0" w:right="0" w:firstLine="560"/>
        <w:jc w:val="both"/>
      </w:pPr>
      <w:r>
        <w:rPr>
          <w:rFonts w:ascii="Times New Roman" w:hAnsi="Times New Roman" w:cs="Times New Roman" w:eastAsia="仿宋"/>
          <w:b w:val="0"/>
          <w:sz w:val="28"/>
        </w:rPr>
        <w:t>瑞士交易所SIX将其ETP描述为有担保的债务证券，而非集合投资基金。直接投资比特币的基金，与挂钩比特币表现的债务证券，属于不同的法律安排，即便两者都能提供比特币敞口。</w:t>
      </w:r>
    </w:p>
    <w:p>
      <w:pPr>
        <w:pStyle w:val="正文内容"/>
        <w:spacing w:before="0" w:after="0" w:line="240" w:lineRule="auto"/>
        <w:ind w:left="0" w:right="0" w:firstLine="560"/>
        <w:jc w:val="both"/>
      </w:pPr>
      <w:r>
        <w:rPr>
          <w:rFonts w:ascii="Times New Roman" w:hAnsi="Times New Roman" w:cs="Times New Roman" w:eastAsia="仿宋"/>
          <w:b w:val="0"/>
          <w:sz w:val="28"/>
        </w:rPr>
        <w:t>FINMA的公告没有点名该基金的发行方，也没有披露费用或提供开始交易的日期。仅获批本身，并不能确定投资者何时可以交易该产品，也不能确定其成本。监管机构还表示，其他提供方已提交或宣布了比特币ETF申请，但未报告有进一步的批准。</w:t>
      </w:r>
    </w:p>
    <w:p>
      <w:pPr>
        <w:pStyle w:val="正文内容"/>
        <w:spacing w:before="0" w:after="0" w:line="240" w:lineRule="auto"/>
        <w:ind w:left="0" w:right="0" w:firstLine="560"/>
        <w:jc w:val="both"/>
      </w:pPr>
      <w:r>
        <w:rPr>
          <w:rFonts w:ascii="Times New Roman" w:hAnsi="Times New Roman" w:cs="Times New Roman" w:eastAsia="仿宋"/>
          <w:b w:val="0"/>
          <w:sz w:val="28"/>
        </w:rPr>
        <w:t>FINMA表示，受监管机构仍必须降低运营与托管风险，并提及其1月12日的托管指引公告。该指引要求具备技术专长、稳健的基础设施以及受到适当监督的服务提供方，同时要求明确的破产保护：客户的加密资产必须留在托管机构的破产财产之外。FINMA还指出，使用外部服务提供方并不会把责任从获授权金融机构转移出去，这些要求有助于保障资产安全。</w:t>
      </w:r>
    </w:p>
    <w:p>
      <w:pPr>
        <w:pStyle w:val="正文内容"/>
        <w:spacing w:before="0" w:after="0" w:line="240" w:lineRule="auto"/>
        <w:ind w:left="0" w:right="0" w:firstLine="560"/>
        <w:jc w:val="both"/>
      </w:pPr>
      <w:r>
        <w:rPr>
          <w:rFonts w:ascii="Times New Roman" w:hAnsi="Times New Roman" w:cs="Times New Roman" w:eastAsia="仿宋"/>
          <w:b w:val="0"/>
          <w:sz w:val="28"/>
        </w:rPr>
        <w:t>在销售环节，FINMA提醒提供加密挂钩工具的受监管机构遵守瑞士金融服务法（FinSA）。它强调须就波动性与损失作出清晰警示，并对该法下的适当性或适合性评估给予特别注意。基金文件也必须以显著方式说明相关风险。</w:t>
      </w:r>
    </w:p>
    <w:p>
      <w:pPr>
        <w:pStyle w:val="正文内容"/>
        <w:spacing w:before="0" w:after="0" w:line="240" w:lineRule="auto"/>
        <w:ind w:left="0" w:right="0" w:firstLine="560"/>
        <w:jc w:val="both"/>
      </w:pPr>
      <w:r>
        <w:rPr>
          <w:rFonts w:ascii="Times New Roman" w:hAnsi="Times New Roman" w:cs="Times New Roman" w:eastAsia="仿宋"/>
          <w:b w:val="0"/>
          <w:sz w:val="28"/>
        </w:rPr>
        <w:t>FINMA的瑞士比特币ETF豁免允许在保留托管与投资者保障的同时集中投资比特币，这些保护涉及资产如何被持有、投资如何被说明以及如何被销售。比特币的市场风险仍由买方承担。FINMA警告，即便通过获批的ETF进行投资，投资也可能因价格剧烈波动而大幅缩水，分散化豁免并不提供任何抵御比特币价格下跌的保护。</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原文标题：Switzerland approves landmark Bitcoin ETF after ruling trading volume sufficient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原文链接：https://cryptoslate.com/switzerland-approves-landmark-bitcoin-etf-after-ruling-trading-volume-sufficient/</w:t>
      </w:r>
    </w:p>
    <w:p/>
    <w:p>
      <w:pPr>
        <w:pStyle w:val="文章一级标题"/>
        <w:spacing w:before="0" w:after="0" w:line="240" w:lineRule="auto"/>
        <w:ind w:left="0" w:right="0" w:firstLine="0"/>
        <w:jc w:val="center"/>
      </w:pPr>
      <w:r>
        <w:rPr>
          <w:rFonts w:ascii="Times New Roman" w:hAnsi="Times New Roman" w:cs="Times New Roman" w:eastAsia="黑体"/>
          <w:b w:val="0"/>
          <w:sz w:val="30"/>
        </w:rPr>
        <w:t>哈萨克斯坦关闭6家主要加密交易所的移动端访问</w:t>
      </w:r>
    </w:p>
    <w:p>
      <w:pPr>
        <w:spacing w:before="0" w:after="0" w:line="240" w:lineRule="auto"/>
        <w:ind w:left="0" w:right="0" w:firstLine="0"/>
        <w:jc w:val="both"/>
      </w:pPr>
      <w:r>
        <w:rPr>
          <w:rFonts w:ascii="Times New Roman" w:hAnsi="Times New Roman" w:cs="Times New Roman" w:eastAsia="仿宋"/>
          <w:b w:val="0"/>
          <w:sz w:val="28"/>
        </w:rPr>
        <w:t>· 阿斯塔纳金融服务管理局（Astana Financial Services Authority，AFSA）表示，计划向苹果（Apple）与谷歌（Google）发送法院命令，限制包括Coinbase在内的六家加密平台的应用访问。</w:t>
      </w:r>
    </w:p>
    <w:p>
      <w:pPr>
        <w:spacing w:before="0" w:after="0" w:line="240" w:lineRule="auto"/>
        <w:ind w:left="0" w:right="0" w:firstLine="0"/>
        <w:jc w:val="both"/>
      </w:pPr>
      <w:r>
        <w:rPr>
          <w:rFonts w:ascii="Times New Roman" w:hAnsi="Times New Roman" w:cs="Times New Roman" w:eastAsia="仿宋"/>
          <w:b w:val="0"/>
          <w:sz w:val="28"/>
        </w:rPr>
        <w:t>· 命令涉及在阿斯塔纳国际金融中心（Astana International Financial Centre，AIFC）内或向当地用户提供的未获授权数字资产服务；AFSA尚未确认命令是否送达应用商店运营方，也未确认是否对六家平台执行。</w:t>
      </w:r>
    </w:p>
    <w:p>
      <w:pPr>
        <w:spacing w:before="0" w:after="0" w:line="240" w:lineRule="auto"/>
        <w:ind w:left="0" w:right="0" w:firstLine="0"/>
        <w:jc w:val="both"/>
      </w:pPr>
      <w:r>
        <w:rPr>
          <w:rFonts w:ascii="Times New Roman" w:hAnsi="Times New Roman" w:cs="Times New Roman" w:eastAsia="仿宋"/>
          <w:b w:val="0"/>
          <w:sz w:val="28"/>
        </w:rPr>
        <w:t>· 9月18日的变更令涵盖BingX、Bitcoin.com、Huobi Global（HTX）、BitMart、Coinbase与WEEX的运营方，并把LBank移出名单。</w:t>
      </w:r>
    </w:p>
    <w:p>
      <w:pPr>
        <w:pStyle w:val="正文内容"/>
        <w:spacing w:before="0" w:after="0" w:line="240" w:lineRule="auto"/>
        <w:ind w:left="0" w:right="0" w:firstLine="560"/>
        <w:jc w:val="both"/>
      </w:pPr>
      <w:r>
        <w:rPr>
          <w:rFonts w:ascii="Times New Roman" w:hAnsi="Times New Roman" w:cs="Times New Roman" w:eastAsia="仿宋"/>
          <w:b w:val="0"/>
          <w:sz w:val="28"/>
        </w:rPr>
        <w:t>哈萨克斯坦阿斯塔纳金融服务管理局（Astana Financial Services Authority，AFSA）10月20日表示，计划向苹果（Apple）与谷歌（Google）发送法院命令，限制包括Coinbase在内的六家加密平台的应用访问。该举措针对应用分发，是这家监管机构针对未获授权数字资产服务的执法行动的一部分。命令涉及在阿斯塔纳国际金融中心（Astana International Financial Centre，AIFC）内提供服务，或向位于当地的用户提供服务。AIFC是哈萨克斯坦的一个金融司法辖区。</w:t>
      </w:r>
    </w:p>
    <w:p>
      <w:pPr>
        <w:pStyle w:val="正文内容"/>
        <w:spacing w:before="0" w:after="0" w:line="240" w:lineRule="auto"/>
        <w:ind w:left="0" w:right="0" w:firstLine="560"/>
        <w:jc w:val="both"/>
      </w:pPr>
      <w:r>
        <w:rPr>
          <w:rFonts w:ascii="Times New Roman" w:hAnsi="Times New Roman" w:cs="Times New Roman" w:eastAsia="仿宋"/>
          <w:b w:val="0"/>
          <w:sz w:val="28"/>
        </w:rPr>
        <w:t>AFSA尚未确认相关命令是否已送达应用商店运营方，也未确认针对这六家平台的限制是否已经执行。命令规定，苹果与谷歌在收到送达通知后，即与案件当事方一样受其约束；两者在确认送达后，可申请变更命令或要求将其撤销。这使应用商店运营方开始与平台本身共同进入该执法程序。</w:t>
      </w:r>
    </w:p>
    <w:p>
      <w:pPr>
        <w:pStyle w:val="正文内容"/>
        <w:spacing w:before="0" w:after="0" w:line="240" w:lineRule="auto"/>
        <w:ind w:left="0" w:right="0" w:firstLine="560"/>
        <w:jc w:val="both"/>
      </w:pPr>
      <w:r>
        <w:rPr>
          <w:rFonts w:ascii="Times New Roman" w:hAnsi="Times New Roman" w:cs="Times New Roman" w:eastAsia="仿宋"/>
          <w:b w:val="0"/>
          <w:sz w:val="28"/>
        </w:rPr>
        <w:t>9月18日的变更令（variation order）涵盖BingX、Bitcoin.com、Huobi Global（HTX）、BitMart、Coinbase与WEEX的运营方。AFSA于9月15日作出原始缺席判决（default judgment）。该变更令把LBank移出名单，原因是其运营方报告已采取补救措施，AFSA称LBank已自行屏蔽哈萨克斯坦用户对其服务的访问。</w:t>
      </w:r>
    </w:p>
    <w:p>
      <w:pPr>
        <w:pStyle w:val="正文内容"/>
        <w:spacing w:before="0" w:after="0" w:line="240" w:lineRule="auto"/>
        <w:ind w:left="0" w:right="0" w:firstLine="560"/>
        <w:jc w:val="both"/>
      </w:pPr>
      <w:r>
        <w:rPr>
          <w:rFonts w:ascii="Times New Roman" w:hAnsi="Times New Roman" w:cs="Times New Roman" w:eastAsia="仿宋"/>
          <w:b w:val="0"/>
          <w:sz w:val="28"/>
        </w:rPr>
        <w:t>相关限制涵盖在AIFC内或向当地用户未经授权提供、要约或营销数字资产服务的行为，同时禁止通过任何平台分发或提供移动应用以提供上述未经授权的服务。不过，该命令本身并未显示应用商店将采取哪些具体技术措施，也未显示措施将在哪些地区适用。AFSA的公告称，命令“将发送”给谷歌应用商店（Google Play）与苹果应用商店（Apple App Store）的运营方，并称对剩下的六家平台，该机构将通过禁令执行访问限制。</w:t>
      </w:r>
    </w:p>
    <w:p>
      <w:pPr>
        <w:pStyle w:val="正文内容"/>
        <w:spacing w:before="0" w:after="0" w:line="240" w:lineRule="auto"/>
        <w:ind w:left="0" w:right="0" w:firstLine="560"/>
        <w:jc w:val="both"/>
      </w:pPr>
      <w:r>
        <w:rPr>
          <w:rFonts w:ascii="Times New Roman" w:hAnsi="Times New Roman" w:cs="Times New Roman" w:eastAsia="仿宋"/>
          <w:b w:val="0"/>
          <w:sz w:val="28"/>
        </w:rPr>
        <w:t>AFSA表示，另有九家平台已主动通过两家应用商店限制其在哈萨克斯坦的应用访问，因此该机构撤回了针对它们的诉求。这些主动限制涉及的是与仍受命令约束的六家运营方不同的另一组平台。</w:t>
      </w:r>
    </w:p>
    <w:p>
      <w:pPr>
        <w:pStyle w:val="正文内容"/>
        <w:spacing w:before="0" w:after="0" w:line="240" w:lineRule="auto"/>
        <w:ind w:left="0" w:right="0" w:firstLine="560"/>
        <w:jc w:val="both"/>
      </w:pPr>
      <w:r>
        <w:rPr>
          <w:rFonts w:ascii="Times New Roman" w:hAnsi="Times New Roman" w:cs="Times New Roman" w:eastAsia="仿宋"/>
          <w:b w:val="0"/>
          <w:sz w:val="28"/>
        </w:rPr>
        <w:t>AFSA还表示，有七家平台称其打算取得牌照，以运营数字资产交易设施（digital-asset trading facilities）。该机构称，本轮程序是在2025年对20多家平台发出警告、并于2026年初启动法院行动之后展开的。上述关于九家平台主动限制与七家平台牌照意向的表述，均来自AFSA的说法。</w:t>
      </w:r>
    </w:p>
    <w:p>
      <w:pPr>
        <w:pStyle w:val="正文内容"/>
        <w:spacing w:before="0" w:after="0" w:line="240" w:lineRule="auto"/>
        <w:ind w:left="0" w:right="0" w:firstLine="560"/>
        <w:jc w:val="both"/>
      </w:pPr>
      <w:r>
        <w:rPr>
          <w:rFonts w:ascii="Times New Roman" w:hAnsi="Times New Roman" w:cs="Times New Roman" w:eastAsia="仿宋"/>
          <w:b w:val="0"/>
          <w:sz w:val="28"/>
        </w:rPr>
        <w:t>Coinbase在哈萨克斯坦的访问曾在2023年11月受到限制。AFSA此次的计划，是在2026年9月命令之下新增一条独立的应用分发执法路径。对于这六家平台的用户而言，当前的实际效果取决于命令是否送达以及是否执行，其中包括任何应用商店限制的地理设置。</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原文标题：Kazakhstan shuts down mobile access to 6 major crypto exchanges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原文链接：https://cryptoslate.com/kazakhstan-shuts-down-mobile-access-to-6-major-crypto-exchanges/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马来西亚央行推出代币化债券分布式账本平台</w:t>
      </w:r>
    </w:p>
    <w:p>
      <w:pPr>
        <w:spacing w:before="0" w:after="0" w:line="240" w:lineRule="auto"/>
        <w:ind w:left="0" w:right="0" w:firstLine="0"/>
        <w:jc w:val="both"/>
      </w:pPr>
      <w:r>
        <w:rPr>
          <w:rFonts w:ascii="Times New Roman" w:hAnsi="Times New Roman" w:cs="Times New Roman" w:eastAsia="仿宋"/>
          <w:b w:val="0"/>
          <w:sz w:val="28"/>
        </w:rPr>
        <w:t>· 马来西亚国家银行（Bank Negara Malaysia，BNM）推出基于分布式账本的平台，用于发行和持有代币化债券，并将数字证券记录与设计为全天候运作的支付系统连接。</w:t>
      </w:r>
    </w:p>
    <w:p>
      <w:pPr>
        <w:spacing w:before="0" w:after="0" w:line="240" w:lineRule="auto"/>
        <w:ind w:left="0" w:right="0" w:firstLine="0"/>
        <w:jc w:val="both"/>
      </w:pPr>
      <w:r>
        <w:rPr>
          <w:rFonts w:ascii="Times New Roman" w:hAnsi="Times New Roman" w:cs="Times New Roman" w:eastAsia="仿宋"/>
          <w:b w:val="0"/>
          <w:sz w:val="28"/>
        </w:rPr>
        <w:t>· 该平台名为无纸化证券存管系统（SSDS+），支持代币化债务证券的发行、存管与保管，包括伊斯兰债券（sukuk）；它追踪代币化证券的所有权与转让，并连接实时电子资金与证券转账系统（RENTAS+），由后者以央行货币处理对应的债券支付。</w:t>
      </w:r>
    </w:p>
    <w:p>
      <w:pPr>
        <w:spacing w:before="0" w:after="0" w:line="240" w:lineRule="auto"/>
        <w:ind w:left="0" w:right="0" w:firstLine="0"/>
        <w:jc w:val="both"/>
      </w:pPr>
      <w:r>
        <w:rPr>
          <w:rFonts w:ascii="Times New Roman" w:hAnsi="Times New Roman" w:cs="Times New Roman" w:eastAsia="仿宋"/>
          <w:b w:val="0"/>
          <w:sz w:val="28"/>
        </w:rPr>
        <w:t>· SSDS+ 面向批发发行设计，BNM 表示它也准备好支持代币化政府债券和公司零售债券；公告未指明已通过该平台发行的证券，也未披露交易量。</w:t>
      </w:r>
    </w:p>
    <w:p>
      <w:pPr>
        <w:pStyle w:val="正文内容"/>
        <w:spacing w:before="0" w:after="0" w:line="240" w:lineRule="auto"/>
        <w:ind w:left="0" w:right="0" w:firstLine="560"/>
        <w:jc w:val="both"/>
      </w:pPr>
      <w:r>
        <w:rPr>
          <w:rFonts w:ascii="Times New Roman" w:hAnsi="Times New Roman" w:cs="Times New Roman" w:eastAsia="仿宋"/>
          <w:b w:val="0"/>
          <w:sz w:val="28"/>
        </w:rPr>
        <w:t>马来西亚国家银行推出基于分布式账本的无纸化证券存管系统 SSDS+，用于代币化债券的发行、存管与保管，并连接 RENTAS+ 以央行货币完成对应的债券支付。</w:t>
      </w:r>
    </w:p>
    <w:p>
      <w:pPr>
        <w:pStyle w:val="正文内容"/>
        <w:spacing w:before="0" w:after="0" w:line="240" w:lineRule="auto"/>
        <w:ind w:left="0" w:right="0" w:firstLine="560"/>
        <w:jc w:val="both"/>
      </w:pPr>
      <w:r>
        <w:rPr>
          <w:rFonts w:ascii="Times New Roman" w:hAnsi="Times New Roman" w:cs="Times New Roman" w:eastAsia="仿宋"/>
          <w:b w:val="0"/>
          <w:sz w:val="28"/>
        </w:rPr>
        <w:t>马来西亚国家银行（Bank Negara Malaysia，BNM）推出一个基于分布式账本的平台，用于发行和持有代币化债券，并将数字证券记录与一套设计为全天候运作的支付系统连接起来。BNM 将这套新一代系统称为无纸化证券存管系统（Scripless Securities Depository System，SSDS+）。Cointelegraph 于 2026 年 10 月 21 日发布相关报道，署名作者为 Ezra Reguerra，编辑为 Felix Ng。</w:t>
      </w:r>
    </w:p>
    <w:p>
      <w:pPr>
        <w:pStyle w:val="正文内容"/>
        <w:spacing w:before="0" w:after="0" w:line="240" w:lineRule="auto"/>
        <w:ind w:left="0" w:right="0" w:firstLine="560"/>
        <w:jc w:val="both"/>
      </w:pPr>
      <w:r>
        <w:rPr>
          <w:rFonts w:ascii="Times New Roman" w:hAnsi="Times New Roman" w:cs="Times New Roman" w:eastAsia="仿宋"/>
          <w:b w:val="0"/>
          <w:sz w:val="28"/>
        </w:rPr>
        <w:t>据 BNM 说明，SSDS+ 支持代币化债务证券的发行、存管与保管，覆盖范围包括伊斯兰债券（sukuk）。</w:t>
      </w:r>
    </w:p>
    <w:p>
      <w:pPr>
        <w:pStyle w:val="正文内容"/>
        <w:spacing w:before="0" w:after="0" w:line="240" w:lineRule="auto"/>
        <w:ind w:left="0" w:right="0" w:firstLine="560"/>
        <w:jc w:val="both"/>
      </w:pPr>
      <w:r>
        <w:rPr>
          <w:rFonts w:ascii="Times New Roman" w:hAnsi="Times New Roman" w:cs="Times New Roman" w:eastAsia="仿宋"/>
          <w:b w:val="0"/>
          <w:sz w:val="28"/>
        </w:rPr>
        <w:t>在所有权与转让方面，SSDS+ 追踪代币化证券的所有权与转让，并连接到实时电子资金与证券转账系统（Real Time Electronic Transfer of Funds and Securities，RENTAS+）。原文指出，RENTAS+ 负责以央行货币处理相应的债券支付。</w:t>
      </w:r>
    </w:p>
    <w:p>
      <w:pPr>
        <w:pStyle w:val="正文内容"/>
        <w:spacing w:before="0" w:after="0" w:line="240" w:lineRule="auto"/>
        <w:ind w:left="0" w:right="0" w:firstLine="560"/>
        <w:jc w:val="both"/>
      </w:pPr>
      <w:r>
        <w:rPr>
          <w:rFonts w:ascii="Times New Roman" w:hAnsi="Times New Roman" w:cs="Times New Roman" w:eastAsia="仿宋"/>
          <w:b w:val="0"/>
          <w:sz w:val="28"/>
        </w:rPr>
        <w:t>关于适用范围，原文指出 SSDS+ 是为批发发行设计的，但 BNM 表示它也准备好支持代币化政府债券和公司零售债券。</w:t>
      </w:r>
    </w:p>
    <w:p>
      <w:pPr>
        <w:pStyle w:val="正文内容"/>
        <w:spacing w:before="0" w:after="0" w:line="240" w:lineRule="auto"/>
        <w:ind w:left="0" w:right="0" w:firstLine="560"/>
        <w:jc w:val="both"/>
      </w:pPr>
      <w:r>
        <w:rPr>
          <w:rFonts w:ascii="Times New Roman" w:hAnsi="Times New Roman" w:cs="Times New Roman" w:eastAsia="仿宋"/>
          <w:b w:val="0"/>
          <w:sz w:val="28"/>
        </w:rPr>
        <w:t>公告并未指明任何已经通过 SSDS+ 发行的证券，也未披露该平台的交易量。</w:t>
      </w:r>
    </w:p>
    <w:p>
      <w:pPr>
        <w:pStyle w:val="正文内容"/>
        <w:spacing w:before="0" w:after="0" w:line="240" w:lineRule="auto"/>
        <w:ind w:left="0" w:right="0" w:firstLine="560"/>
        <w:jc w:val="both"/>
      </w:pPr>
      <w:r>
        <w:rPr>
          <w:rFonts w:ascii="Times New Roman" w:hAnsi="Times New Roman" w:cs="Times New Roman" w:eastAsia="仿宋"/>
          <w:b w:val="0"/>
          <w:sz w:val="28"/>
        </w:rPr>
        <w:t>此次推出是继 BNM 于 2025 年 11 月公布的三年资产代币化路线图之后。该路线图列出了试点项目计划，涉及伊斯兰金融、供应链融资和可编程支付。</w:t>
      </w:r>
    </w:p>
    <w:p>
      <w:pPr>
        <w:pStyle w:val="正文内容"/>
        <w:spacing w:before="0" w:after="0" w:line="240" w:lineRule="auto"/>
        <w:ind w:left="0" w:right="0" w:firstLine="560"/>
        <w:jc w:val="both"/>
      </w:pPr>
      <w:r>
        <w:rPr>
          <w:rFonts w:ascii="Times New Roman" w:hAnsi="Times New Roman" w:cs="Times New Roman" w:eastAsia="仿宋"/>
          <w:b w:val="0"/>
          <w:sz w:val="28"/>
        </w:rPr>
        <w:t>此外，BNM 于 2 月通过其数字资产创新中心（Digital Asset Innovation Hub）测试了林吉特稳定币和代币化银行存款。原文列出的参与方包括 Standard Chartered、CIMB Group Holding、Maybank 以及投资控股公司 Capital A。</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原文标题：Malaysia central bank launches DLT platform for tokenized bonds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原文链接：https://cointelegraph.com/news/malaysia-central-bank-tokenized-bonds-sukuk-dlt-platform</w:t>
      </w:r>
    </w:p>
    <w:p/>
    <w:p>
      <w:pPr>
        <w:pStyle w:val="文章一级标题"/>
        <w:spacing w:before="0" w:after="0" w:line="240" w:lineRule="auto"/>
        <w:ind w:left="0" w:right="0" w:firstLine="0"/>
        <w:jc w:val="center"/>
      </w:pPr>
      <w:r>
        <w:rPr>
          <w:rFonts w:ascii="Times New Roman" w:hAnsi="Times New Roman" w:cs="Times New Roman" w:eastAsia="黑体"/>
          <w:b w:val="0"/>
          <w:sz w:val="30"/>
        </w:rPr>
        <w:t>万事达卡开放AI智能体支付早期访问此前与Coinbase、Base、Cloudflare等六方完成端到端试点</w:t>
      </w:r>
    </w:p>
    <w:p>
      <w:pPr>
        <w:spacing w:before="0" w:after="0" w:line="240" w:lineRule="auto"/>
        <w:ind w:left="0" w:right="0" w:firstLine="0"/>
        <w:jc w:val="both"/>
      </w:pPr>
      <w:r>
        <w:rPr>
          <w:rFonts w:ascii="Times New Roman" w:hAnsi="Times New Roman" w:cs="Times New Roman" w:eastAsia="仿宋"/>
          <w:b w:val="0"/>
          <w:sz w:val="28"/>
        </w:rPr>
        <w:t>· 万事达卡（Mastercard）在与 Cloudflare、Ant International、BVNK、AIsa、Base 和 Coinbase 完成端到端试点后，开放 Agent Pay for Machines 的早期访问，提供首批买方与卖方 API、开发者工具包及沙盒。</w:t>
      </w:r>
    </w:p>
    <w:p>
      <w:pPr>
        <w:spacing w:before="0" w:after="0" w:line="240" w:lineRule="auto"/>
        <w:ind w:left="0" w:right="0" w:firstLine="0"/>
        <w:jc w:val="both"/>
      </w:pPr>
      <w:r>
        <w:rPr>
          <w:rFonts w:ascii="Times New Roman" w:hAnsi="Times New Roman" w:cs="Times New Roman" w:eastAsia="仿宋"/>
          <w:b w:val="0"/>
          <w:sz w:val="28"/>
        </w:rPr>
        <w:t>· 在 Cloudflare Connect 的演示中，一名 AI 智能体（AI agent）使用 Coinbase 孵化的 x402 协议，在营销机构 Hype 的蛋白棒营销任务中向两家商户完成九笔支付。</w:t>
      </w:r>
    </w:p>
    <w:p>
      <w:pPr>
        <w:spacing w:before="0" w:after="0" w:line="240" w:lineRule="auto"/>
        <w:ind w:left="0" w:right="0" w:firstLine="0"/>
        <w:jc w:val="both"/>
      </w:pPr>
      <w:r>
        <w:rPr>
          <w:rFonts w:ascii="Times New Roman" w:hAnsi="Times New Roman" w:cs="Times New Roman" w:eastAsia="仿宋"/>
          <w:b w:val="0"/>
          <w:sz w:val="28"/>
        </w:rPr>
        <w:t>· 万事达卡表示付款凭证可以批量打包并稍后兑换，而不必逐笔结算；该项目仍处于试点阶段，尚未投入商业使用。</w:t>
      </w:r>
    </w:p>
    <w:p>
      <w:pPr>
        <w:pStyle w:val="正文内容"/>
        <w:spacing w:before="0" w:after="0" w:line="240" w:lineRule="auto"/>
        <w:ind w:left="0" w:right="0" w:firstLine="560"/>
        <w:jc w:val="both"/>
      </w:pPr>
      <w:r>
        <w:rPr>
          <w:rFonts w:ascii="Times New Roman" w:hAnsi="Times New Roman" w:cs="Times New Roman" w:eastAsia="仿宋"/>
          <w:b w:val="0"/>
          <w:sz w:val="28"/>
        </w:rPr>
        <w:t>万事达卡（Mastercard）开放 Agent Pay for Machines 的早期访问，使其首批买方与卖方 API、开发者工具包和沙盒通过该计划提供。此举是在与 Cloudflare、Ant International、BVNK、AIsa、Base 和 Coinbase 六家公司完成端到端试点后进行的。The Block 的报道时间为 2026 年 10 月 20 日。</w:t>
      </w:r>
    </w:p>
    <w:p>
      <w:pPr>
        <w:pStyle w:val="正文内容"/>
        <w:spacing w:before="0" w:after="0" w:line="240" w:lineRule="auto"/>
        <w:ind w:left="0" w:right="0" w:firstLine="560"/>
        <w:jc w:val="both"/>
      </w:pPr>
      <w:r>
        <w:rPr>
          <w:rFonts w:ascii="Times New Roman" w:hAnsi="Times New Roman" w:cs="Times New Roman" w:eastAsia="仿宋"/>
          <w:b w:val="0"/>
          <w:sz w:val="28"/>
        </w:rPr>
        <w:t>万事达卡此前于 6 月首次公布 Agent Pay for Machines，当时披露的内容包括对支出控制的支持，以及对卡、银行账户和稳定币支付的支持。该公司目前邀请开发者测试其 API，并就希望新增的功能提供反馈；该项目仍处于试点阶段，尚未投入商业使用。</w:t>
      </w:r>
    </w:p>
    <w:p>
      <w:pPr>
        <w:pStyle w:val="正文内容"/>
        <w:spacing w:before="0" w:after="0" w:line="240" w:lineRule="auto"/>
        <w:ind w:left="0" w:right="0" w:firstLine="560"/>
        <w:jc w:val="both"/>
      </w:pPr>
      <w:r>
        <w:rPr>
          <w:rFonts w:ascii="Times New Roman" w:hAnsi="Times New Roman" w:cs="Times New Roman" w:eastAsia="仿宋"/>
          <w:b w:val="0"/>
          <w:sz w:val="28"/>
        </w:rPr>
        <w:t>在 Cloudflare Connect 的演示中，一名 AI 智能体（AI agent）跨两家商户完成了九笔支付。演示场景为营销机构 Hype 向一名 AI 智能体下达样例任务，要求其为一款蛋白棒产品的上市准备营销活动。</w:t>
      </w:r>
    </w:p>
    <w:p>
      <w:pPr>
        <w:pStyle w:val="正文内容"/>
        <w:spacing w:before="0" w:after="0" w:line="240" w:lineRule="auto"/>
        <w:ind w:left="0" w:right="0" w:firstLine="560"/>
        <w:jc w:val="both"/>
      </w:pPr>
      <w:r>
        <w:rPr>
          <w:rFonts w:ascii="Times New Roman" w:hAnsi="Times New Roman" w:cs="Times New Roman" w:eastAsia="仿宋"/>
          <w:b w:val="0"/>
          <w:sz w:val="28"/>
        </w:rPr>
        <w:t>该任务要求智能体在 Hype 批准的预算内，从 AIsa 购买社交媒体调研资料，并从 Cloudflare AI Gateway 获取八张活动图片。演示中共向这两家服务提供方完成九笔支付。</w:t>
      </w:r>
    </w:p>
    <w:p>
      <w:pPr>
        <w:pStyle w:val="正文内容"/>
        <w:spacing w:before="0" w:after="0" w:line="240" w:lineRule="auto"/>
        <w:ind w:left="0" w:right="0" w:firstLine="560"/>
        <w:jc w:val="both"/>
      </w:pPr>
      <w:r>
        <w:rPr>
          <w:rFonts w:ascii="Times New Roman" w:hAnsi="Times New Roman" w:cs="Times New Roman" w:eastAsia="仿宋"/>
          <w:b w:val="0"/>
          <w:sz w:val="28"/>
        </w:rPr>
        <w:t>该智能体使用 Coinbase 孵化的 x402 协议（x402 protocol）为服务付款。x402 这一标准取名自 HTTP 402“需要付款（Payment Required）”状态码，它允许网站、API 和 AI 智能体通过基于区块链的支付通道和传统支付通道请求并接收付款。</w:t>
      </w:r>
    </w:p>
    <w:p>
      <w:pPr>
        <w:pStyle w:val="正文内容"/>
        <w:spacing w:before="0" w:after="0" w:line="240" w:lineRule="auto"/>
        <w:ind w:left="0" w:right="0" w:firstLine="560"/>
        <w:jc w:val="both"/>
      </w:pPr>
      <w:r>
        <w:rPr>
          <w:rFonts w:ascii="Times New Roman" w:hAnsi="Times New Roman" w:cs="Times New Roman" w:eastAsia="仿宋"/>
          <w:b w:val="0"/>
          <w:sz w:val="28"/>
        </w:rPr>
        <w:t>当商户请求付款时，会返回 HTTP 402 响应。商户在交付服务前验证智能体签署的付款凭证（payment voucher）。万事达卡表示，付款凭证可以批量打包并稍后兑换，而不必对每笔付款逐一结算。</w:t>
      </w:r>
    </w:p>
    <w:p>
      <w:pPr>
        <w:pStyle w:val="正文内容"/>
        <w:spacing w:before="0" w:after="0" w:line="240" w:lineRule="auto"/>
        <w:ind w:left="0" w:right="0" w:firstLine="560"/>
        <w:jc w:val="both"/>
      </w:pPr>
      <w:r>
        <w:rPr>
          <w:rFonts w:ascii="Times New Roman" w:hAnsi="Times New Roman" w:cs="Times New Roman" w:eastAsia="仿宋"/>
          <w:b w:val="0"/>
          <w:sz w:val="28"/>
        </w:rPr>
        <w:t>Coinbase Developer Platform 提供了 Hype 试点中为智能体注入资金所用的钱包基础设施，Base 则充当链上结算网络。稳定币基础设施提供商 BVNK（万事达卡于 8 月收购）担任智能体钱包，并使用万事达卡的 Global Money Platform，以法币或稳定币处理支付与结算。</w:t>
      </w:r>
    </w:p>
    <w:p>
      <w:pPr>
        <w:pStyle w:val="正文内容"/>
        <w:spacing w:before="0" w:after="0" w:line="240" w:lineRule="auto"/>
        <w:ind w:left="0" w:right="0" w:firstLine="560"/>
        <w:jc w:val="both"/>
      </w:pPr>
      <w:r>
        <w:rPr>
          <w:rFonts w:ascii="Times New Roman" w:hAnsi="Times New Roman" w:cs="Times New Roman" w:eastAsia="仿宋"/>
          <w:b w:val="0"/>
          <w:sz w:val="28"/>
        </w:rPr>
        <w:t>卖方可以按其偏好的货币、代币或支付通道收款。万事达卡在提供给 The Block 的声明中表示：“网络为软件提供了沟通方式，API 为软件提供了使用服务的方式，如今 AI 智能体需要一种为这些服务付款的方式。这正是我们正在构建的。”</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原文标题：Mastercard opens early access to AI agent payments following pilots with Coinbase， Base and Cloudflare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原文链接：https://www.theblock.co/news/business/2026-10-20-mastercard-opens-early-access-to-ai-agent-payments-following-pilots-with-coinbase-base-and-cloudflare-421406</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SuperLeague股东批准Metaplanet的2100枚比特币投资</w:t>
      </w:r>
    </w:p>
    <w:p>
      <w:pPr>
        <w:spacing w:before="0" w:after="0" w:line="240" w:lineRule="auto"/>
        <w:ind w:left="0" w:right="0" w:firstLine="0"/>
        <w:jc w:val="both"/>
      </w:pPr>
      <w:r>
        <w:rPr>
          <w:rFonts w:ascii="Times New Roman" w:hAnsi="Times New Roman" w:cs="Times New Roman" w:eastAsia="仿宋"/>
          <w:b w:val="0"/>
          <w:sz w:val="28"/>
        </w:rPr>
        <w:t>· Super League股东在10月16日会议上批准拟议的2，100枚比特币和250万美元投资。</w:t>
      </w:r>
    </w:p>
    <w:p>
      <w:pPr>
        <w:spacing w:before="0" w:after="0" w:line="240" w:lineRule="auto"/>
        <w:ind w:left="0" w:right="0" w:firstLine="0"/>
        <w:jc w:val="both"/>
      </w:pPr>
      <w:r>
        <w:rPr>
          <w:rFonts w:ascii="Times New Roman" w:hAnsi="Times New Roman" w:cs="Times New Roman" w:eastAsia="仿宋"/>
          <w:b w:val="0"/>
          <w:sz w:val="28"/>
        </w:rPr>
        <w:t>· 交易完成时Metaplanet将获得4，486万股普通股，以及最多3.81亿股普通股的认股权证。</w:t>
      </w:r>
    </w:p>
    <w:p>
      <w:pPr>
        <w:spacing w:before="0" w:after="0" w:line="240" w:lineRule="auto"/>
        <w:ind w:left="0" w:right="0" w:firstLine="0"/>
        <w:jc w:val="both"/>
      </w:pPr>
      <w:r>
        <w:rPr>
          <w:rFonts w:ascii="Times New Roman" w:hAnsi="Times New Roman" w:cs="Times New Roman" w:eastAsia="仿宋"/>
          <w:b w:val="0"/>
          <w:sz w:val="28"/>
        </w:rPr>
        <w:t>· 按初始价格全部行使认股权证可能提供约33.8亿美元；该资本尚未筹集。</w:t>
      </w:r>
    </w:p>
    <w:p>
      <w:pPr>
        <w:pStyle w:val="正文内容"/>
        <w:spacing w:before="0" w:after="0" w:line="240" w:lineRule="auto"/>
        <w:ind w:left="0" w:right="0" w:firstLine="560"/>
        <w:jc w:val="both"/>
      </w:pPr>
      <w:r>
        <w:rPr>
          <w:rFonts w:ascii="Times New Roman" w:hAnsi="Times New Roman" w:cs="Times New Roman" w:eastAsia="仿宋"/>
          <w:b w:val="0"/>
          <w:sz w:val="28"/>
        </w:rPr>
        <w:t>Super League股东在10月16日年度会议上批准了Metaplanet拟议投资。10月19日美国证券交易委员会（SEC）文件显示，股东批准了所有提案，为这家日本比特币财库公司拟议收购纳斯达克上市广告公司清除了一个主要条件。批准内容包括根据与Metaplanet和投资公司Evo Fund的协议发行最多4.359亿股普通股。主要发行提案以约106万票赞成、25，314票反对通过。</w:t>
      </w:r>
    </w:p>
    <w:p>
      <w:pPr>
        <w:pStyle w:val="正文内容"/>
        <w:spacing w:before="0" w:after="0" w:line="240" w:lineRule="auto"/>
        <w:ind w:left="0" w:right="0" w:firstLine="560"/>
        <w:jc w:val="both"/>
      </w:pPr>
      <w:r>
        <w:rPr>
          <w:rFonts w:ascii="Times New Roman" w:hAnsi="Times New Roman" w:cs="Times New Roman" w:eastAsia="仿宋"/>
          <w:b w:val="0"/>
          <w:sz w:val="28"/>
        </w:rPr>
        <w:t>协议下，Metaplanet将贡献2，100枚比特币和250万美元现金，换取4，486万股新发行普通股，每股3美元。Metaplanet比特币战略总监Dylan LeClair根据Super League截至9月29日的股份数估计，交易完成时Metaplanet将持有约93.7%所有权。比特币出资截至10月16日价值约1.70亿美元，高于8月协议定价时的1.321亿美元；尽管比特币美元价值上升，Metaplanet将获得的股份数量仍固定。</w:t>
      </w:r>
    </w:p>
    <w:p>
      <w:pPr>
        <w:pStyle w:val="正文内容"/>
        <w:spacing w:before="0" w:after="0" w:line="240" w:lineRule="auto"/>
        <w:ind w:left="0" w:right="0" w:firstLine="560"/>
        <w:jc w:val="both"/>
      </w:pPr>
      <w:r>
        <w:rPr>
          <w:rFonts w:ascii="Times New Roman" w:hAnsi="Times New Roman" w:cs="Times New Roman" w:eastAsia="仿宋"/>
          <w:b w:val="0"/>
          <w:sz w:val="28"/>
        </w:rPr>
        <w:t>交易完成后，Super League将转变为Superplanet，股票代码为SUPA。公司将作为Metaplanet在美国上市的比特币财库平台，在现有日本业务之外提供进入美国资本市场的渠道。Metaplanet首席执行官Simon Gerovich表示，扩张将推进公司成为全球比特币原生金融平台的雄心，美国和日本的互补业务将支持国际融资、资本配置和比特币相关金融产品。交易预计在2026年第四季度完成，尚需满足包括纳斯达克相关申报在内的剩余要求。</w:t>
      </w:r>
    </w:p>
    <w:p>
      <w:pPr>
        <w:pStyle w:val="正文内容"/>
        <w:spacing w:before="0" w:after="0" w:line="240" w:lineRule="auto"/>
        <w:ind w:left="0" w:right="0" w:firstLine="560"/>
        <w:jc w:val="both"/>
      </w:pPr>
      <w:r>
        <w:rPr>
          <w:rFonts w:ascii="Times New Roman" w:hAnsi="Times New Roman" w:cs="Times New Roman" w:eastAsia="仿宋"/>
          <w:b w:val="0"/>
          <w:sz w:val="28"/>
        </w:rPr>
        <w:t>股东批准章程修改，将Super League授权优先股从1，000万股增加十倍至1亿股，为发行高级、非可转换永久优先证券提供容量。拟议模式将允许Superplanet从寻求收益的投资者那里筹集美元计价资本，同时将所得用于提高每股比特币持有量。与债务不同，永久优先股通常没有固定还款日期，但股息义务会产生经常性融资成本。Dylan LeClair表示，Superplanet打算优先发行高级优先股，作为提高每股比特币的主要工具。</w:t>
      </w:r>
    </w:p>
    <w:p>
      <w:pPr>
        <w:pStyle w:val="正文内容"/>
        <w:spacing w:before="0" w:after="0" w:line="240" w:lineRule="auto"/>
        <w:ind w:left="0" w:right="0" w:firstLine="560"/>
        <w:jc w:val="both"/>
      </w:pPr>
      <w:r>
        <w:rPr>
          <w:rFonts w:ascii="Times New Roman" w:hAnsi="Times New Roman" w:cs="Times New Roman" w:eastAsia="仿宋"/>
          <w:b w:val="0"/>
          <w:sz w:val="28"/>
        </w:rPr>
        <w:t>Metaplanet还将获得100股可转换战略联盟优先股，带有特殊治理权。这些证券没有优先股息或清算索赔，但赋予Metaplanet对重大公司决策的批准权，包括合并、章程修改和控制权变更。Metaplanet将指定Superplanet九名董事会成员中的五名，确保对公司资本配置策略的控制。其普通股，包括未来行使认股权证获得的股份，将受到五年锁定期约束，并有一些例外。</w:t>
      </w:r>
    </w:p>
    <w:p>
      <w:pPr>
        <w:pStyle w:val="正文内容"/>
        <w:spacing w:before="0" w:after="0" w:line="240" w:lineRule="auto"/>
        <w:ind w:left="0" w:right="0" w:firstLine="560"/>
        <w:jc w:val="both"/>
      </w:pPr>
      <w:r>
        <w:rPr>
          <w:rFonts w:ascii="Times New Roman" w:hAnsi="Times New Roman" w:cs="Times New Roman" w:eastAsia="仿宋"/>
          <w:b w:val="0"/>
          <w:sz w:val="28"/>
        </w:rPr>
        <w:t>交易还赋予Metaplanet十年期认股权证，可通过四个批次再收购3.81亿股普通股。第一批允许以每股3美元购买2.1亿股，随后以每股10美元购买1亿股、每股21美元购买5，000万股、每股33.50美元购买2，100万股。按这些初始价格全部行使，将为Superplanet提供约33.8亿美元额外资本。但这些收益取决于未来行使，更高行权价需要股价大幅上涨才能使行使认股权证具有经济吸引力。</w:t>
      </w:r>
    </w:p>
    <w:p>
      <w:pPr>
        <w:pStyle w:val="正文内容"/>
        <w:spacing w:before="0" w:after="0" w:line="240" w:lineRule="auto"/>
        <w:ind w:left="0" w:right="0" w:firstLine="560"/>
        <w:jc w:val="both"/>
      </w:pPr>
      <w:r>
        <w:rPr>
          <w:rFonts w:ascii="Times New Roman" w:hAnsi="Times New Roman" w:cs="Times New Roman" w:eastAsia="仿宋"/>
          <w:b w:val="0"/>
          <w:sz w:val="28"/>
        </w:rPr>
        <w:t>Metaplanet将单独保留24个月权利，通过初级流动性支持优先股投资最多2.1亿美元，该证券将次于未来高级优先证券。初级证券带有三个月SOFR加四个百分点的累积股息，使Metaplanet能够提供次级资本，可能增强Superplanet资产负债表并支持向外部投资者发行高级优先股，这种安排可能帮助Superplanet吸引关注收益的投资者。拟议融资结构还引入认股权证行使的潜在稀释，而任何高级优先股发行都会产生额外股息义务，Superplanet必须通过流动性储备、运营现金流或后续融资来支付。</w:t>
      </w:r>
    </w:p>
    <w:p>
      <w:pPr>
        <w:pStyle w:val="正文内容"/>
        <w:spacing w:before="0" w:after="0" w:line="240" w:lineRule="auto"/>
        <w:ind w:left="0" w:right="0" w:firstLine="560"/>
        <w:jc w:val="both"/>
      </w:pPr>
      <w:r>
        <w:rPr>
          <w:rFonts w:ascii="Times New Roman" w:hAnsi="Times New Roman" w:cs="Times New Roman" w:eastAsia="仿宋"/>
          <w:b w:val="0"/>
          <w:sz w:val="28"/>
        </w:rPr>
        <w:t>Super League现有的广告和媒体激活业务将继续由首席执行官Matt Edelman领导。公司还披露，它于10月16日独立购买了2枚比特币，价格约162，890美元，同时探索在现金之外持有该资产。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原文标题：Super League shareholders approve Metaplanet’s 2，100 BTC investment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原文链接：https://cryptoslate.com/metaplanets-3-4-billion-bitcoin-financing-plan-takes-major-step-toward-wall-street/</w:t>
      </w:r>
    </w:p>
    <w:p/>
    <w:p>
      <w:pPr>
        <w:pStyle w:val="文章一级标题"/>
        <w:spacing w:before="0" w:after="0" w:line="240" w:lineRule="auto"/>
        <w:ind w:left="0" w:right="0" w:firstLine="0"/>
        <w:jc w:val="center"/>
      </w:pPr>
      <w:r>
        <w:rPr>
          <w:rFonts w:ascii="Times New Roman" w:hAnsi="Times New Roman" w:cs="Times New Roman" w:eastAsia="黑体"/>
          <w:b w:val="0"/>
          <w:sz w:val="30"/>
        </w:rPr>
        <w:t>BlackRock旗下IBIT比特币ETF单日净流入6.65亿美元为2025年10月以来最高</w:t>
      </w:r>
    </w:p>
    <w:p>
      <w:pPr>
        <w:spacing w:before="0" w:after="0" w:line="240" w:lineRule="auto"/>
        <w:ind w:left="0" w:right="0" w:firstLine="0"/>
        <w:jc w:val="both"/>
      </w:pPr>
      <w:r>
        <w:rPr>
          <w:rFonts w:ascii="Times New Roman" w:hAnsi="Times New Roman" w:cs="Times New Roman" w:eastAsia="仿宋"/>
          <w:b w:val="0"/>
          <w:sz w:val="28"/>
        </w:rPr>
        <w:t>· SoSoValue数据显示，BlackRock的iShares Bitcoin Trust（IBIT）周一录得6.6516亿美元净流入，为2025年10月7日以来最大单日净流入。</w:t>
      </w:r>
    </w:p>
    <w:p>
      <w:pPr>
        <w:spacing w:before="0" w:after="0" w:line="240" w:lineRule="auto"/>
        <w:ind w:left="0" w:right="0" w:firstLine="0"/>
        <w:jc w:val="both"/>
      </w:pPr>
      <w:r>
        <w:rPr>
          <w:rFonts w:ascii="Times New Roman" w:hAnsi="Times New Roman" w:cs="Times New Roman" w:eastAsia="仿宋"/>
          <w:b w:val="0"/>
          <w:sz w:val="28"/>
        </w:rPr>
        <w:t>· 受IBIT流入带动，美国现货比特币ETF当日净流入5.266亿美元，尽管Fidelity和Grayscale旗下基金出现流出，并部分抵消了这一流入。</w:t>
      </w:r>
    </w:p>
    <w:p>
      <w:pPr>
        <w:spacing w:before="0" w:after="0" w:line="240" w:lineRule="auto"/>
        <w:ind w:left="0" w:right="0" w:firstLine="0"/>
        <w:jc w:val="both"/>
      </w:pPr>
      <w:r>
        <w:rPr>
          <w:rFonts w:ascii="Times New Roman" w:hAnsi="Times New Roman" w:cs="Times New Roman" w:eastAsia="仿宋"/>
          <w:b w:val="0"/>
          <w:sz w:val="28"/>
        </w:rPr>
        <w:t>· Zeus Research分析师Dominick John表示，在宏观逆风和比特币价格震荡的情况下，BlackRock的流入显示机构需求具有韧性。</w:t>
      </w:r>
    </w:p>
    <w:p>
      <w:pPr>
        <w:pStyle w:val="正文内容"/>
        <w:spacing w:before="0" w:after="0" w:line="240" w:lineRule="auto"/>
        <w:ind w:left="0" w:right="0" w:firstLine="560"/>
        <w:jc w:val="both"/>
      </w:pPr>
      <w:r>
        <w:rPr>
          <w:rFonts w:ascii="Times New Roman" w:hAnsi="Times New Roman" w:cs="Times New Roman" w:eastAsia="仿宋"/>
          <w:b w:val="0"/>
          <w:sz w:val="28"/>
        </w:rPr>
        <w:t>BlackRock的iShares Bitcoin Trust（IBIT）在周一录得6.6516亿美元净流入，为过去一年最大单日净流入。文章称，这显示在宏观经济压力下，机构对比特币（Bitcoin，BTC）的需求仍具韧性。SoSoValue数据显示，这是IBIT自2025年10月7日以来最大的单日净流入。</w:t>
      </w:r>
    </w:p>
    <w:p>
      <w:pPr>
        <w:pStyle w:val="正文内容"/>
        <w:spacing w:before="0" w:after="0" w:line="240" w:lineRule="auto"/>
        <w:ind w:left="0" w:right="0" w:firstLine="560"/>
        <w:jc w:val="both"/>
      </w:pPr>
      <w:r>
        <w:rPr>
          <w:rFonts w:ascii="Times New Roman" w:hAnsi="Times New Roman" w:cs="Times New Roman" w:eastAsia="仿宋"/>
          <w:b w:val="0"/>
          <w:sz w:val="28"/>
        </w:rPr>
        <w:t>受IBIT流入带动，美国现货比特币ETF当日录得5.266亿美元净流入。文章指出，Fidelity和Grayscale旗下基金出现流出，部分抵消了IBIT的正向流入。同日，现货以太坊（Ethereum，ETH）ETF录得1.033亿美元净流出，连续第四个交易日为负。</w:t>
      </w:r>
    </w:p>
    <w:p>
      <w:pPr>
        <w:pStyle w:val="正文内容"/>
        <w:spacing w:before="0" w:after="0" w:line="240" w:lineRule="auto"/>
        <w:ind w:left="0" w:right="0" w:firstLine="560"/>
        <w:jc w:val="both"/>
      </w:pPr>
      <w:r>
        <w:rPr>
          <w:rFonts w:ascii="Times New Roman" w:hAnsi="Times New Roman" w:cs="Times New Roman" w:eastAsia="仿宋"/>
          <w:b w:val="0"/>
          <w:sz w:val="28"/>
        </w:rPr>
        <w:t>IBIT的大额流入发生在比特币仍处于82000美元至83000美元窄幅盘整区间之际。文章称，市场担心进一步加息可能拖累更广泛的风险资产。Zeus Research分析师Dominick John对The Block表示：“BlackRock的流入显示，在宏观逆风和比特币震荡价格走势下，机构需求具有韧性。”Dominick John并称：“持续阻力表明ETF买盘正被卖压吸收，而加息担忧拖累更广泛的风险偏好。”</w:t>
      </w:r>
    </w:p>
    <w:p>
      <w:pPr>
        <w:pStyle w:val="正文内容"/>
        <w:spacing w:before="0" w:after="0" w:line="240" w:lineRule="auto"/>
        <w:ind w:left="0" w:right="0" w:firstLine="560"/>
        <w:jc w:val="both"/>
      </w:pPr>
      <w:r>
        <w:rPr>
          <w:rFonts w:ascii="Times New Roman" w:hAnsi="Times New Roman" w:cs="Times New Roman" w:eastAsia="仿宋"/>
          <w:b w:val="0"/>
          <w:sz w:val="28"/>
        </w:rPr>
        <w:t>IBIT由全球最大资产管理公司BlackRock于2024年1月推出。文章称，IBIT是最大的现货比特币ETF，净资产（net assets）为663.7亿美元。</w:t>
      </w:r>
    </w:p>
    <w:p>
      <w:pPr>
        <w:pStyle w:val="正文内容"/>
        <w:spacing w:before="0" w:after="0" w:line="240" w:lineRule="auto"/>
        <w:ind w:left="0" w:right="0" w:firstLine="560"/>
        <w:jc w:val="both"/>
      </w:pPr>
      <w:r>
        <w:rPr>
          <w:rFonts w:ascii="Times New Roman" w:hAnsi="Times New Roman" w:cs="Times New Roman" w:eastAsia="仿宋"/>
          <w:b w:val="0"/>
          <w:sz w:val="28"/>
        </w:rPr>
        <w:t>Presto Research副研究员Min Jung表示，IBIT流入的确切驱动因素尚不清楚，但投资者可能正在为比特币潜在“追赶交易”布局。Min Jung补充说：“与其他接近历史高点的风险资产不同，比特币在缺乏加密特定催化剂的情况下大体维持区间波动，使当前水平相对有吸引力。”</w:t>
      </w:r>
    </w:p>
    <w:p>
      <w:pPr>
        <w:pStyle w:val="正文内容"/>
        <w:spacing w:before="0" w:after="0" w:line="240" w:lineRule="auto"/>
        <w:ind w:left="0" w:right="0" w:firstLine="560"/>
        <w:jc w:val="both"/>
      </w:pPr>
      <w:r>
        <w:rPr>
          <w:rFonts w:ascii="Times New Roman" w:hAnsi="Times New Roman" w:cs="Times New Roman" w:eastAsia="仿宋"/>
          <w:b w:val="0"/>
          <w:sz w:val="28"/>
        </w:rPr>
        <w:t>Min Jung还表示，波动性可能继续，因为围绕联邦储备委员会（Federal Reserve，Fed）利率决定的不确定性抑制了更广泛的风险情绪。根据Min Jung，持续突破当前箱体将需要宏观清晰度和风险偏好改善。The Block的加密恐惧与贪婪指数（Fear &amp; Greed Index）目前为59，处于“贪婪”区域。</w:t>
      </w:r>
    </w:p>
    <w:p>
      <w:pPr>
        <w:pStyle w:val="正文内容"/>
        <w:spacing w:before="0" w:after="0" w:line="240" w:lineRule="auto"/>
        <w:ind w:left="0" w:right="0" w:firstLine="560"/>
        <w:jc w:val="both"/>
      </w:pPr>
      <w:r>
        <w:rPr>
          <w:rFonts w:ascii="Times New Roman" w:hAnsi="Times New Roman" w:cs="Times New Roman" w:eastAsia="仿宋"/>
          <w:b w:val="0"/>
          <w:sz w:val="28"/>
        </w:rPr>
        <w:t>与此同时，BlackRock周一还申请了另一只比特币基金。文章称，拟议的iShares Bitcoin Managed Protect ETF将让投资者获得下行保护，并保留对其旗舰比特币ETF的上行敞口。</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原文标题：BlackRock's IBIT Bitcoin ETF draws $665 million inflow， highest since October 2025</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原文链接：https://www.theblock.co/news/markets/2026-10-20-blackrock-ibit-bitcoin-etf-665-million-421102</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摩根大通模型给出比特币十年牛市情景385500美元尽管CEOJamieDimon持批评态度</w:t>
      </w:r>
    </w:p>
    <w:p>
      <w:pPr>
        <w:spacing w:before="0" w:after="0" w:line="240" w:lineRule="auto"/>
        <w:ind w:left="0" w:right="0" w:firstLine="0"/>
        <w:jc w:val="both"/>
      </w:pPr>
      <w:r>
        <w:rPr>
          <w:rFonts w:ascii="Times New Roman" w:hAnsi="Times New Roman" w:cs="Times New Roman" w:eastAsia="仿宋"/>
          <w:b w:val="0"/>
          <w:sz w:val="28"/>
        </w:rPr>
        <w:t>· 摩根大通资产管理于10月19日发布的2027年长期资本市场假设，为比特币给出三种十年情景：基准约215300美元、牛市约385500美元、熊市约25300美元。</w:t>
      </w:r>
    </w:p>
    <w:p>
      <w:pPr>
        <w:spacing w:before="0" w:after="0" w:line="240" w:lineRule="auto"/>
        <w:ind w:left="0" w:right="0" w:firstLine="0"/>
        <w:jc w:val="both"/>
      </w:pPr>
      <w:r>
        <w:rPr>
          <w:rFonts w:ascii="Times New Roman" w:hAnsi="Times New Roman" w:cs="Times New Roman" w:eastAsia="仿宋"/>
          <w:b w:val="0"/>
          <w:sz w:val="28"/>
        </w:rPr>
        <w:t>· 这是该机构31年年度展望历史上首次对比特币进行长期情景分析；其基准情景10%的复合年回报高于该机构对美国大盘股7.5%和黄金5.5%的假设。</w:t>
      </w:r>
    </w:p>
    <w:p>
      <w:pPr>
        <w:spacing w:before="0" w:after="0" w:line="240" w:lineRule="auto"/>
        <w:ind w:left="0" w:right="0" w:firstLine="0"/>
        <w:jc w:val="both"/>
      </w:pPr>
      <w:r>
        <w:rPr>
          <w:rFonts w:ascii="Times New Roman" w:hAnsi="Times New Roman" w:cs="Times New Roman" w:eastAsia="仿宋"/>
          <w:b w:val="0"/>
          <w:sz w:val="28"/>
        </w:rPr>
        <w:t>· 撰写该比特币分析的组合经理Sheena Shah与数字资产策略师Dennis Cristallo表示，极端波动与不稳定的相关性限制了比特币在多元化组合中的用途。</w:t>
      </w:r>
    </w:p>
    <w:p>
      <w:pPr>
        <w:pStyle w:val="正文内容"/>
        <w:spacing w:before="0" w:after="0" w:line="240" w:lineRule="auto"/>
        <w:ind w:left="0" w:right="0" w:firstLine="560"/>
        <w:jc w:val="both"/>
      </w:pPr>
      <w:r>
        <w:rPr>
          <w:rFonts w:ascii="Times New Roman" w:hAnsi="Times New Roman" w:cs="Times New Roman" w:eastAsia="仿宋"/>
          <w:b w:val="0"/>
          <w:sz w:val="28"/>
        </w:rPr>
        <w:t>摩根大通资产管理（JPMorgan Asset Management）认为，尽管首席执行官Jamie Dimon长期批评加密货币，比特币仍可能在一个十年内达到215000美元。这家华尔街机构于10月19日发布的2027年长期资本市场假设（Long-Term Capital Market Assumptions），列出了比特币未来十年表现的三种情景，从跌向25000美元到升至接近386000美元不等。</w:t>
      </w:r>
    </w:p>
    <w:p>
      <w:pPr>
        <w:pStyle w:val="正文内容"/>
        <w:spacing w:before="0" w:after="0" w:line="240" w:lineRule="auto"/>
        <w:ind w:left="0" w:right="0" w:firstLine="560"/>
        <w:jc w:val="both"/>
      </w:pPr>
      <w:r>
        <w:rPr>
          <w:rFonts w:ascii="Times New Roman" w:hAnsi="Times New Roman" w:cs="Times New Roman" w:eastAsia="仿宋"/>
          <w:b w:val="0"/>
          <w:sz w:val="28"/>
        </w:rPr>
        <w:t>其基准情景假设比特币产生10%的复合年回报（compound annual return），按报告采用的83000美元参考价格计算，对应价格约为215300美元。看涨情景预计年化回报为16.6%，比特币将升至约385500美元；看跌情景假设年化亏损11.2%，其价值将降至约25300美元。</w:t>
      </w:r>
    </w:p>
    <w:p>
      <w:pPr>
        <w:pStyle w:val="正文内容"/>
        <w:spacing w:before="0" w:after="0" w:line="240" w:lineRule="auto"/>
        <w:ind w:left="0" w:right="0" w:firstLine="560"/>
        <w:jc w:val="both"/>
      </w:pPr>
      <w:r>
        <w:rPr>
          <w:rFonts w:ascii="Times New Roman" w:hAnsi="Times New Roman" w:cs="Times New Roman" w:eastAsia="仿宋"/>
          <w:b w:val="0"/>
          <w:sz w:val="28"/>
        </w:rPr>
        <w:t>这些预测标志着摩根大通资产管理在其31年年度展望历史上首次进行比特币长期情景分析，反映了这一加密货币对机构投资者日益增长的重要性。比特币预计10%的年回报高于该机构对美国大盘股7.5%的假设和对黄金5.5%的假设。然而，其估计的55%年化波动率（annualized volatility）是美国股票预计18%的三倍以上。</w:t>
      </w:r>
    </w:p>
    <w:p>
      <w:pPr>
        <w:pStyle w:val="正文内容"/>
        <w:spacing w:before="0" w:after="0" w:line="240" w:lineRule="auto"/>
        <w:ind w:left="0" w:right="0" w:firstLine="560"/>
        <w:jc w:val="both"/>
      </w:pPr>
      <w:r>
        <w:rPr>
          <w:rFonts w:ascii="Times New Roman" w:hAnsi="Times New Roman" w:cs="Times New Roman" w:eastAsia="仿宋"/>
          <w:b w:val="0"/>
          <w:sz w:val="28"/>
        </w:rPr>
        <w:t>该机构认为，为战略性组合构建采用一个确定的十年比特币预测为时过早，而是把这些估算作为不同市场条件下的可能结果来呈现。报告将货币扩张与对黄金的竞争列为比特币长期估值的主导力量。其预测框架把65%的权重分配给比特币供应增长相对于美元和全球货币供应扩张，另有30%反映其吸引传统上配置于黄金的投资的潜力。该机构仅把5%分配给比特币网络采用，这部分在其基准情景下产生-3.2%的年化回报。货币供应模型与黄金配置模型都产生10.7%的年化回报。</w:t>
      </w:r>
    </w:p>
    <w:p>
      <w:pPr>
        <w:pStyle w:val="正文内容"/>
        <w:spacing w:before="0" w:after="0" w:line="240" w:lineRule="auto"/>
        <w:ind w:left="0" w:right="0" w:firstLine="560"/>
        <w:jc w:val="both"/>
      </w:pPr>
      <w:r>
        <w:rPr>
          <w:rFonts w:ascii="Times New Roman" w:hAnsi="Times New Roman" w:cs="Times New Roman" w:eastAsia="仿宋"/>
          <w:b w:val="0"/>
          <w:sz w:val="28"/>
        </w:rPr>
        <w:t>该机构还假设，比特币几乎不会直接从其他区块链上运行的代币化资产扩张中受益，从而限制了更广泛的加密基础设施采用对其估值的贡献。摩根大通将比特币描述为投机性资产和对货币宽松的对冲，并观察到其价格对全球流动性条件的反应与其他高风险投资大体相似。但它对“对货币贬值的担忧会自动推动投资者转向加密货币”的预期提出质疑，认为比特币的波动性和不稳定的相关性使这一投资逻辑变得复杂。</w:t>
      </w:r>
    </w:p>
    <w:p>
      <w:pPr>
        <w:pStyle w:val="正文内容"/>
        <w:spacing w:before="0" w:after="0" w:line="240" w:lineRule="auto"/>
        <w:ind w:left="0" w:right="0" w:firstLine="560"/>
        <w:jc w:val="both"/>
      </w:pPr>
      <w:r>
        <w:rPr>
          <w:rFonts w:ascii="Times New Roman" w:hAnsi="Times New Roman" w:cs="Times New Roman" w:eastAsia="仿宋"/>
          <w:b w:val="0"/>
          <w:sz w:val="28"/>
        </w:rPr>
        <w:t>其独立组合分析估计，比特币与美国大盘股的历史相关性为0.33，与黄金为0.10，该机构认为这两组关系过于不可预测，无法支撑可靠的分散化作用。尽管有上述进展，撰写该比特币分析的组合经理Sheena Shah与数字资产策略师Dennis Cristallo仍坚持认为，极端波动和不稳定的相关性限制了比特币在多元化组合中的有用性。</w:t>
      </w:r>
    </w:p>
    <w:p>
      <w:pPr>
        <w:pStyle w:val="正文内容"/>
        <w:spacing w:before="0" w:after="0" w:line="240" w:lineRule="auto"/>
        <w:ind w:left="0" w:right="0" w:firstLine="560"/>
        <w:jc w:val="both"/>
      </w:pPr>
      <w:r>
        <w:rPr>
          <w:rFonts w:ascii="Times New Roman" w:hAnsi="Times New Roman" w:cs="Times New Roman" w:eastAsia="仿宋"/>
          <w:b w:val="0"/>
          <w:sz w:val="28"/>
        </w:rPr>
        <w:t>他们把波动率下降、相关性更趋一致、更深的流动性和更好的价格发现列为可能增强比特币适合战略性投资的条件。</w:t>
      </w:r>
    </w:p>
    <w:p>
      <w:pPr>
        <w:pStyle w:val="正文内容"/>
        <w:spacing w:before="0" w:after="0" w:line="240" w:lineRule="auto"/>
        <w:ind w:left="0" w:right="0" w:firstLine="560"/>
        <w:jc w:val="both"/>
      </w:pPr>
      <w:r>
        <w:rPr>
          <w:rFonts w:ascii="Times New Roman" w:hAnsi="Times New Roman" w:cs="Times New Roman" w:eastAsia="仿宋"/>
          <w:b w:val="0"/>
          <w:sz w:val="28"/>
        </w:rPr>
        <w:t>该分析标志着摩根大通加密货币业务的又一次扩张，尽管首席执行官Jamie Dimon多年来一直公开批评。Dimon此前曾把比特币斥为骗局并质疑其经济价值，反复提及投机交易、犯罪活动和监管风险。但在该行2025年5月的投资者日上，Dimon确认摩根大通将允许客户购买比特币，并在账户对账单上反映这些持仓，同时最初避免提供托管服务。“我不是它的拥趸，”Dimon当时说，并在个人反对的情况下为客户投资比特币的自由作辩护。</w:t>
      </w:r>
    </w:p>
    <w:p>
      <w:pPr>
        <w:pStyle w:val="正文内容"/>
        <w:spacing w:before="0" w:after="0" w:line="240" w:lineRule="auto"/>
        <w:ind w:left="0" w:right="0" w:firstLine="560"/>
        <w:jc w:val="both"/>
      </w:pPr>
      <w:r>
        <w:rPr>
          <w:rFonts w:ascii="Times New Roman" w:hAnsi="Times New Roman" w:cs="Times New Roman" w:eastAsia="仿宋"/>
          <w:b w:val="0"/>
          <w:sz w:val="28"/>
        </w:rPr>
        <w:t>Bitwise首席投资官Matt Hougan在摩根大通发布最新预测后抓住了这一反差。他在X上写道：“起初他们无视你，然后他们嘲笑你，然后他们与你对抗，然后他们把你加入他们的长期资本市场假设文件，并预测你将是下一个十年表现最好的资产。”他的言论凸显了比特币日益增长的机构接受度，该行不断扩大的参与反映了客户对加密货币敞口需求上升、投资产品更为成熟以及配套基础设施的完善。</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原文标题：JPMorgan models Bitcoin reaching $385，000 in 10-year bull case despite CEO Jamie Dimon’s criticism</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原文链接：https://cryptoslate.com/jpmorgan-models-bitcoin-reaching-385000-in-10-year-bull-case-despite-ceo-jamie-dimons-criticism/</w:t>
      </w:r>
    </w:p>
    <w:p/>
    <w:p>
      <w:pPr>
        <w:pStyle w:val="文章一级标题"/>
        <w:spacing w:before="0" w:after="0" w:line="240" w:lineRule="auto"/>
        <w:ind w:left="0" w:right="0" w:firstLine="0"/>
        <w:jc w:val="center"/>
      </w:pPr>
      <w:r>
        <w:rPr>
          <w:rFonts w:ascii="Times New Roman" w:hAnsi="Times New Roman" w:cs="Times New Roman" w:eastAsia="黑体"/>
          <w:b w:val="0"/>
          <w:sz w:val="30"/>
        </w:rPr>
        <w:t>Tether回应参议员调查报告忽略了推动伊朗相关交易量下降的正面工作</w:t>
      </w:r>
    </w:p>
    <w:p>
      <w:pPr>
        <w:spacing w:before="0" w:after="0" w:line="240" w:lineRule="auto"/>
        <w:ind w:left="0" w:right="0" w:firstLine="0"/>
        <w:jc w:val="both"/>
      </w:pPr>
      <w:r>
        <w:rPr>
          <w:rFonts w:ascii="Times New Roman" w:hAnsi="Times New Roman" w:cs="Times New Roman" w:eastAsia="仿宋"/>
          <w:b w:val="0"/>
          <w:sz w:val="28"/>
        </w:rPr>
        <w:t>· Tether首席执行官Paolo Ardoino在X上发文称，参议员Richard Blumenthal对Tether制裁报告的“分析”忽略了公司自2023年以来平均在OFAC与NBCTF正式作出制裁指定前4周就冻结相关交易，并在99%的情况下早于Chainalysis给被报告地址打标签。</w:t>
      </w:r>
    </w:p>
    <w:p>
      <w:pPr>
        <w:spacing w:before="0" w:after="0" w:line="240" w:lineRule="auto"/>
        <w:ind w:left="0" w:right="0" w:firstLine="0"/>
        <w:jc w:val="both"/>
      </w:pPr>
      <w:r>
        <w:rPr>
          <w:rFonts w:ascii="Times New Roman" w:hAnsi="Times New Roman" w:cs="Times New Roman" w:eastAsia="仿宋"/>
          <w:b w:val="0"/>
          <w:sz w:val="28"/>
        </w:rPr>
        <w:t>· Ardoino主张，Tether的行动“使与伊朗相关的稳定币交易量下降了94%”，并表示自己有信心公司“在做正确的事”。</w:t>
      </w:r>
    </w:p>
    <w:p>
      <w:pPr>
        <w:spacing w:before="0" w:after="0" w:line="240" w:lineRule="auto"/>
        <w:ind w:left="0" w:right="0" w:firstLine="0"/>
        <w:jc w:val="both"/>
      </w:pPr>
      <w:r>
        <w:rPr>
          <w:rFonts w:ascii="Times New Roman" w:hAnsi="Times New Roman" w:cs="Times New Roman" w:eastAsia="仿宋"/>
          <w:b w:val="0"/>
          <w:sz w:val="28"/>
        </w:rPr>
        <w:t>· 上月发布该报告的是参议院常设调查小组委员会的民主党人，报告指控Tether为伊朗“影子银行网络”提供了“重要的金融生命线”，该调查由小组委员会首席民主党人Richard Blumenthal牵头。</w:t>
      </w:r>
    </w:p>
    <w:p>
      <w:pPr>
        <w:pStyle w:val="正文内容"/>
        <w:spacing w:before="0" w:after="0" w:line="240" w:lineRule="auto"/>
        <w:ind w:left="0" w:right="0" w:firstLine="560"/>
        <w:jc w:val="both"/>
      </w:pPr>
      <w:r>
        <w:rPr>
          <w:rFonts w:ascii="Times New Roman" w:hAnsi="Times New Roman" w:cs="Times New Roman" w:eastAsia="仿宋"/>
          <w:b w:val="0"/>
          <w:sz w:val="28"/>
        </w:rPr>
        <w:t>Tether首席执行官Paolo Ardoino回应参议院常设调查小组委员会民主党人的报告，称其忽略了公司提前冻结可疑交易、并推动伊朗相关稳定币交易量下降的工作。</w:t>
      </w:r>
    </w:p>
    <w:p>
      <w:pPr>
        <w:pStyle w:val="正文内容"/>
        <w:spacing w:before="0" w:after="0" w:line="240" w:lineRule="auto"/>
        <w:ind w:left="0" w:right="0" w:firstLine="560"/>
        <w:jc w:val="both"/>
      </w:pPr>
      <w:r>
        <w:rPr>
          <w:rFonts w:ascii="Times New Roman" w:hAnsi="Times New Roman" w:cs="Times New Roman" w:eastAsia="仿宋"/>
          <w:b w:val="0"/>
          <w:sz w:val="28"/>
        </w:rPr>
        <w:t>Tether正就参议院民主党人上月发布的一份报告作出回应。该报告由参议院常设调查小组委员会（Senate Permanent Subcommittee on Investigations）的民主党人发布，指控这家稳定币（stablecoin）公司为伊朗“影子银行网络”提供了“重要的金融生命线”。Tether首席执行官Paolo Ardoino周一表示，这项调查忽略了公司为遵守制裁所做的正面工作。该小组委员会的首席民主党人、参议员Richard Blumenthal牵头了这项工作。</w:t>
      </w:r>
    </w:p>
    <w:p>
      <w:pPr>
        <w:pStyle w:val="正文内容"/>
        <w:spacing w:before="0" w:after="0" w:line="240" w:lineRule="auto"/>
        <w:ind w:left="0" w:right="0" w:firstLine="560"/>
        <w:jc w:val="both"/>
      </w:pPr>
      <w:r>
        <w:rPr>
          <w:rFonts w:ascii="Times New Roman" w:hAnsi="Times New Roman" w:cs="Times New Roman" w:eastAsia="仿宋"/>
          <w:b w:val="0"/>
          <w:sz w:val="28"/>
        </w:rPr>
        <w:t>Ardoino在社交媒体平台X上发文称，Tether在冻结可疑交易方面往往远早于政府制裁。他写道：“参议员Blumenthal对Tether制裁报告的‘分析’忽略了一点：自2023年以来，Tether平均在美国财政部外国资产控制办公室（Office of Foreign Assets Control，OFAC）与以色列国家反恐融资局（Israel's National Bureau for Counter Terror Financing，NBCTF）正式作出制裁指定前4周完成冻结，并且在99%的情况下，Tether冻结被报告地址的时间早于Chainalysis给这些地址打上标签。”</w:t>
      </w:r>
    </w:p>
    <w:p>
      <w:pPr>
        <w:pStyle w:val="正文内容"/>
        <w:spacing w:before="0" w:after="0" w:line="240" w:lineRule="auto"/>
        <w:ind w:left="0" w:right="0" w:firstLine="560"/>
        <w:jc w:val="both"/>
      </w:pPr>
      <w:r>
        <w:rPr>
          <w:rFonts w:ascii="Times New Roman" w:hAnsi="Times New Roman" w:cs="Times New Roman" w:eastAsia="仿宋"/>
          <w:b w:val="0"/>
          <w:sz w:val="28"/>
        </w:rPr>
        <w:t>Ardoino还主张，公司的这些行动“使与伊朗相关的稳定币交易量下降了94%”。他在帖文中表示，自己有信心Tether“在做正确的事”。这份由参议院民主党人发布的报告，进一步凸显了民主党议员对于加密货币被用于支持非法金融的担忧。</w:t>
      </w:r>
    </w:p>
    <w:p>
      <w:pPr>
        <w:pStyle w:val="正文内容"/>
        <w:spacing w:before="0" w:after="0" w:line="240" w:lineRule="auto"/>
        <w:ind w:left="0" w:right="0" w:firstLine="560"/>
        <w:jc w:val="both"/>
      </w:pPr>
      <w:r>
        <w:rPr>
          <w:rFonts w:ascii="Times New Roman" w:hAnsi="Times New Roman" w:cs="Times New Roman" w:eastAsia="仿宋"/>
          <w:b w:val="0"/>
          <w:sz w:val="28"/>
        </w:rPr>
        <w:t>上周二，Ardoino还远程出席在华盛顿举行的DC Fintech Week活动，并在那里谈及这位参议员的报告。他批评报告在公司得以审阅之前就被交给媒体。“我认为让公众也听到我们这一方的说法很重要，”他说。</w:t>
      </w:r>
    </w:p>
    <w:p>
      <w:pPr>
        <w:pStyle w:val="正文内容"/>
        <w:spacing w:before="0" w:after="0" w:line="240" w:lineRule="auto"/>
        <w:ind w:left="0" w:right="0" w:firstLine="560"/>
        <w:jc w:val="both"/>
      </w:pPr>
      <w:r>
        <w:rPr>
          <w:rFonts w:ascii="Times New Roman" w:hAnsi="Times New Roman" w:cs="Times New Roman" w:eastAsia="仿宋"/>
          <w:b w:val="0"/>
          <w:sz w:val="28"/>
        </w:rPr>
        <w:t>“我们的目标是把不良行为者赶出USDT，”Ardoino说。“这些不良行为者正在转向美国控制之外、现在也超出我们控制的其他手段。”他补充说，这项工作“尚未完成”，但他对Tether所扮演的角色感到满意。“我早上醒来照镜子，我知道我们正在做正确的事，”他说。</w:t>
      </w:r>
    </w:p>
    <w:p>
      <w:pPr>
        <w:pStyle w:val="正文内容"/>
        <w:spacing w:before="0" w:after="0" w:line="240" w:lineRule="auto"/>
        <w:ind w:left="0" w:right="0" w:firstLine="560"/>
        <w:jc w:val="both"/>
      </w:pPr>
      <w:r>
        <w:rPr>
          <w:rFonts w:ascii="Times New Roman" w:hAnsi="Times New Roman" w:cs="Times New Roman" w:eastAsia="仿宋"/>
          <w:b w:val="0"/>
          <w:sz w:val="28"/>
        </w:rPr>
        <w:t>参议院报告追溯了数年时间，部分聚焦于2024年之前的时期，报告称在那段时间里Tether没有全面冻结被标记的钱包。报告称：“这种威慑的缺失招致了滥用：哈马斯等恐怖组织从使用比特币和多种加密货币转向推广USDT。”</w:t>
      </w:r>
    </w:p>
    <w:p>
      <w:pPr>
        <w:pStyle w:val="正文内容"/>
        <w:spacing w:before="0" w:after="0" w:line="240" w:lineRule="auto"/>
        <w:ind w:left="0" w:right="0" w:firstLine="560"/>
        <w:jc w:val="both"/>
      </w:pPr>
      <w:r>
        <w:rPr>
          <w:rFonts w:ascii="Times New Roman" w:hAnsi="Times New Roman" w:cs="Times New Roman" w:eastAsia="仿宋"/>
          <w:b w:val="0"/>
          <w:sz w:val="28"/>
        </w:rPr>
        <w:t>在这份报告之后，Blumenthal还在调查Tether与其美国金融合作伙伴Cantor Fitzgerald之间的关系，后者与总统Donald Trump的政府关系密切。Tether去年秋天还任命Trump的前白宫加密顾问Bo Hines为其美国分部首席执行官。</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原文标题：Tether： Senator's investigation misses positive work that's led to lower Iran volumes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原文链接：https://www.coindesk.com/policy/2026/10/19/tether-senator-s-investigation-misses-positive-work-that-s-led-to-lower-iran-volumes</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2026-10-14 14:34 至 2026-10-21 14:34（北京时间，最近7天）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