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黑体"/>
          <w:b w:val="0"/>
          <w:color w:val="2F5496"/>
          <w:sz w:val="32"/>
        </w:rPr>
        <w:t>专题研究</w:t>
      </w:r>
    </w:p>
    <w:p>
      <w:pPr>
        <w:jc w:val="center"/>
      </w:pPr>
      <w:r>
        <w:rPr>
          <w:rFonts w:ascii="Times New Roman" w:hAnsi="Times New Roman" w:cs="Times New Roman" w:eastAsia="黑体"/>
          <w:b w:val="0"/>
          <w:sz w:val="30"/>
        </w:rPr>
        <w:t>2024年机构加密货币对冲基金与风险投资报告</w:t>
      </w:r>
    </w:p>
    <w:p>
      <w:pPr>
        <w:spacing w:before="0" w:after="0" w:line="240" w:lineRule="auto"/>
        <w:ind w:left="0" w:right="0" w:firstLine="0"/>
        <w:jc w:val="both"/>
      </w:pPr>
      <w:r>
        <w:rPr>
          <w:rFonts w:ascii="Times New Roman" w:hAnsi="Times New Roman" w:cs="Times New Roman" w:eastAsia="仿宋"/>
          <w:b w:val="0"/>
          <w:sz w:val="28"/>
        </w:rPr>
        <w:t>· 约34%的加密货币专属对冲基金拥有3年以上业绩记录，56.2%的基金成立时间在1-3年之间。</w:t>
      </w:r>
    </w:p>
    <w:p>
      <w:pPr>
        <w:spacing w:before="0" w:after="0" w:line="240" w:lineRule="auto"/>
        <w:ind w:left="0" w:right="0" w:firstLine="0"/>
        <w:jc w:val="both"/>
      </w:pPr>
      <w:r>
        <w:rPr>
          <w:rFonts w:ascii="Times New Roman" w:hAnsi="Times New Roman" w:cs="Times New Roman" w:eastAsia="仿宋"/>
          <w:b w:val="0"/>
          <w:sz w:val="28"/>
        </w:rPr>
        <w:t>· 2023年第四季度加密货币对冲基金资产管理规模跃升至约152亿美元，其中基本面策略基金持有114亿美元。</w:t>
      </w:r>
    </w:p>
    <w:p>
      <w:pPr>
        <w:spacing w:before="0" w:after="0" w:line="240" w:lineRule="auto"/>
        <w:ind w:left="0" w:right="0" w:firstLine="0"/>
        <w:jc w:val="both"/>
      </w:pPr>
      <w:r>
        <w:rPr>
          <w:rFonts w:ascii="Times New Roman" w:hAnsi="Times New Roman" w:cs="Times New Roman" w:eastAsia="仿宋"/>
          <w:b w:val="0"/>
          <w:sz w:val="28"/>
        </w:rPr>
        <w:t>· 2023年全球加密货币/区块链风险投资机构通过58只基金筹集了57.5亿美元，较2022年的377亿美元大幅下降。</w:t>
      </w:r>
    </w:p>
    <w:p>
      <w:pPr>
        <w:sectPr>
          <w:pgSz w:w="12240" w:h="15840"/>
          <w:pgMar w:top="1440" w:right="1803" w:bottom="1440" w:left="1803" w:header="850" w:footer="992" w:gutter="0"/>
          <w:cols w:space="720"/>
          <w:docGrid w:type="lines" w:linePitch="312"/>
        </w:sectPr>
      </w:pPr>
    </w:p>
    <w:p>
      <w:pPr>
        <w:pStyle w:val="正文内容"/>
        <w:spacing w:before="0" w:after="0" w:line="240" w:lineRule="auto"/>
        <w:ind w:left="0" w:right="0" w:firstLine="560"/>
        <w:jc w:val="both"/>
      </w:pPr>
      <w:r>
        <w:rPr>
          <w:rFonts w:ascii="Times New Roman" w:hAnsi="Times New Roman" w:cs="Times New Roman" w:eastAsia="仿宋"/>
          <w:b w:val="0"/>
          <w:sz w:val="28"/>
        </w:rPr>
        <w:t>根据VisionTrack数据，约34%的加密货币专属对冲基金（crypto-dedicated hedge funds）拥有3年以上业绩记录，56.2%的基金成立时间在1至3年之间，而仅有不到7.2%的基金拥有4年以上业绩记录。在2023年下半年，基本面和量化方向基金（fundamental and quant directional funds）中表现最好的两个四分位基金超越了比特币。加密货币对冲基金的总资产管理规模（AUM）在2023年第四季度跃升至约152亿美元，其中基本面策略（fundamental strategies）持有114亿美元，量化方向基金（Quant Directional Funds）持有18亿美元，市场中性基金（Market Neutral Funds）持有19亿美元。全年来看，所有加密货币对冲基金的中位基金规模温和增长，主要归因于加密货币价格上涨，尽管第四季度出现净申购。</w:t>
      </w:r>
    </w:p>
    <w:p>
      <w:pPr>
        <w:pStyle w:val="正文内容"/>
        <w:spacing w:before="0" w:after="0" w:line="240" w:lineRule="auto"/>
        <w:ind w:left="0" w:right="0" w:firstLine="560"/>
        <w:jc w:val="both"/>
      </w:pPr>
      <w:r>
        <w:rPr>
          <w:rFonts w:ascii="Times New Roman" w:hAnsi="Times New Roman" w:cs="Times New Roman" w:eastAsia="仿宋"/>
          <w:b w:val="0"/>
          <w:sz w:val="28"/>
        </w:rPr>
        <w:t>2023年，全球加密货币/区块链领域风险投资公司（crypto/blockchain venture capital firms）共筹集57.5亿美元，涉及58支基金，远低于2022年创纪录的377亿美元和262支基金。加密货币风投公司（crypto venture firms）占全球风险投资筹资的比例约为3.53%，较2022年的12.62%高点显著下降。加密货币原生公司（crypto-native firms）占2023年关闭基金的72%，传统投资者支持了行业筹资。从年度平均来看，加密货币原生公司关闭了81%的加密货币风投专有基金。</w:t>
      </w:r>
    </w:p>
    <w:p>
      <w:pPr>
        <w:pStyle w:val="正文内容"/>
        <w:spacing w:before="0" w:after="0" w:line="240" w:lineRule="auto"/>
        <w:ind w:left="0" w:right="0" w:firstLine="560"/>
        <w:jc w:val="both"/>
      </w:pPr>
      <w:r>
        <w:rPr>
          <w:rFonts w:ascii="Times New Roman" w:hAnsi="Times New Roman" w:cs="Times New Roman" w:eastAsia="仿宋"/>
          <w:b w:val="0"/>
          <w:sz w:val="28"/>
        </w:rPr>
        <w:t>2022年底，加密货币总市值为8400亿美元，而到2023年底，总市值增长至1.77万亿美元，实现了健康的一年期攀升。比特币在2022年底相对于排名前十的其他加密货币的市占率约为38.43%，到2023年底升至约47.8%。据CoinGecko追踪，其在12月6日达到前十流动性加密货币中的最高占比51.5%。比特币的统治地位始于2023年第二季度末，随着美国比特币现货ETF（U.S. Bitcoin Spot ETF）审批进程获得动力。BlackRock在6月决定申请现货BTC ETF——这是其首次申请——重新点燃了竞争，促使先前发行人Invesco/Galaxy、ArkInvest、Fidelity、VanEck、WisdomTree、Bitwise等重新申请，带动了市场兴趣激增。比特币在2023年3月恢复到年度高点。</w:t>
      </w:r>
    </w:p>
    <w:p>
      <w:pPr>
        <w:pStyle w:val="正文内容"/>
        <w:spacing w:before="0" w:after="0" w:line="240" w:lineRule="auto"/>
        <w:ind w:left="0" w:right="0" w:firstLine="560"/>
        <w:jc w:val="both"/>
      </w:pPr>
      <w:r>
        <w:rPr>
          <w:rFonts w:ascii="Times New Roman" w:hAnsi="Times New Roman" w:cs="Times New Roman" w:eastAsia="仿宋"/>
          <w:b w:val="0"/>
          <w:sz w:val="28"/>
        </w:rPr>
        <w:t>到2023年中，许多加密货币基金管理者在年初大部分时间都在新聘服务提供商，特别是银行关系、数字资产托管人（digital asset custodians）、机构质押合作伙伴（institutional staking partners）和中心化加密货币交易所（centralized crypto exchanges）。由于2022年的崩溃仍令许多基金经理心有余悸，加强运营控制是去年各公司的优先事项。筹资活动尚未恢复，许多公司面临的市场成交量和波动性较历史水平偏低。根据VisionTrack数据，我们估计从2022年5月到2023年12月，715家加密货币专属对冲基金中有250家关闭，接近市场的35%。对于那些未在2022年破产中损失全部基金价值的基金经理，许多人面临不确定的宏观环境和配置者风险偏好下降。尽管有许多帮助机构“脱离零配置”的论点，但主动策略的信息传递效果不佳，顶级对冲基金遭遇赎回。</w:t>
      </w:r>
    </w:p>
    <w:p>
      <w:pPr>
        <w:pStyle w:val="正文内容"/>
        <w:spacing w:before="0" w:after="0" w:line="240" w:lineRule="auto"/>
        <w:ind w:left="0" w:right="0" w:firstLine="560"/>
        <w:jc w:val="both"/>
      </w:pPr>
      <w:r>
        <w:rPr>
          <w:rFonts w:ascii="Times New Roman" w:hAnsi="Times New Roman" w:cs="Times New Roman" w:eastAsia="仿宋"/>
          <w:b w:val="0"/>
          <w:sz w:val="28"/>
        </w:rPr>
        <w:t>对于在2022年低迷和2023年初赎回中幸存下来的基金，我们的数据表明34.01%的加密货币专属对冲基金拥有3年以上业绩记录。56.2%的基金业绩记录在1至3年之间，不到7.2%的基金拥有4年以上业绩记录。对于此前几年基金增长热情高涨的行业，到2023年底，基于VisionTrack数据，前20大对冲基金持有总对冲基金AUM的约71.6%，而2022年底这一数字约为75%。顶级基金管理人集中基金价值并不令人意外，因为许多有限合伙人（limited partners，LP）会持有一家加密货币对冲基金数年。虽然低迷时期很艰难，且加密货币对冲基金通常有月度申购/赎回，但LP基础往往以多年投资理念对待加密货币对冲基金。</w:t>
      </w:r>
    </w:p>
    <w:p>
      <w:pPr>
        <w:pStyle w:val="正文内容"/>
        <w:spacing w:before="0" w:after="0" w:line="240" w:lineRule="auto"/>
        <w:ind w:left="0" w:right="0" w:firstLine="560"/>
        <w:jc w:val="both"/>
      </w:pPr>
      <w:r>
        <w:rPr>
          <w:rFonts w:ascii="Times New Roman" w:hAnsi="Times New Roman" w:cs="Times New Roman" w:eastAsia="仿宋"/>
          <w:b w:val="0"/>
          <w:sz w:val="28"/>
        </w:rPr>
        <w:t>公共市场方面，投资者满怀期待但带着对软着陆/硬着陆（soft/hard landing）的担忧进入2023年。SPDR标普500 ETF（SPDR S&amp;P 500 ETF）全年上涨16.79%，但幕后观察显示，这很大程度上归功于“七巨头”（Magnificent Seven），标准普尔500指数从未如此头部集中。半导体、实用人工智能（artificial intelligence，AI）的首次亮相、基础设施和国防振兴的呼吁以及全球贸易政策的变化主导了大部分时间的市场。精明的投资者争论美国即将到来的衰退时机，短期国债和货币市场基金吸引力逐月攀升。私募市场流动性丰沛的日子似乎已近尾声，私募股权（private equity）融资降至6年低点。在此背景下，2023年美国企业破产申请攀升至642起，为2011年以来最高，投资者继续质疑主要金融机构因2023年3月流动性危机而产生的未实现持有至到期（held-to-maturity，HTM）损失。</w:t>
      </w:r>
    </w:p>
    <w:p>
      <w:pPr>
        <w:pStyle w:val="正文内容"/>
        <w:spacing w:before="0" w:after="0" w:line="240" w:lineRule="auto"/>
        <w:ind w:left="0" w:right="0" w:firstLine="560"/>
        <w:jc w:val="both"/>
      </w:pPr>
      <w:r>
        <w:rPr>
          <w:rFonts w:ascii="Times New Roman" w:hAnsi="Times New Roman" w:cs="Times New Roman" w:eastAsia="仿宋"/>
          <w:b w:val="0"/>
          <w:sz w:val="28"/>
        </w:rPr>
        <w:t>2023年，加密货币基金经理面临巨大的运营风险、持续的监管不确定性与艰难的融资环境。2021年和2022年的热情消退，配置者与金融媒体似乎希望远离加密货币，并期待结构性改变。对于基金经理及其投资者，2022年的低迷动摇了信心，甚至关乎生存。他们不断应对批评与怀疑，所有积极消息都被用来帮助反弹。最黑暗的日子似乎并不遥远，反弹之年往往带来验证与宽慰而非兴奋。2023年最后几个月正是如此。尽管进入2024年批评和怀疑依然存在，加密货币尤其是比特币十多年来已证明自己是法定货币的可靠替代品，保持价值储存功能并提供革命性的数字固定供应货币体系。2023年，这一叙述得到巩固，地缘政治不确定性与银行系统动荡进一步凸显了比特币的独特价值。虽然无法确切预测2024年加密货币资产走势，但我们可以审视过去以为一系列结果做准备。全球货币政策存在深层次结构性问题，高利率与通胀加剧了这些矛盾。</w:t>
      </w:r>
    </w:p>
    <w:p>
      <w:pPr>
        <w:pStyle w:val="正文内容"/>
        <w:spacing w:before="0" w:after="0" w:line="240" w:lineRule="auto"/>
        <w:ind w:left="0" w:right="0" w:firstLine="560"/>
        <w:jc w:val="both"/>
      </w:pPr>
      <w:r>
        <w:rPr>
          <w:rFonts w:ascii="Times New Roman" w:hAnsi="Times New Roman" w:cs="Times New Roman" w:eastAsia="仿宋"/>
          <w:b w:val="0"/>
          <w:sz w:val="28"/>
        </w:rPr>
        <w:t>在业绩方面，2023年VisionTrack的加密货币对冲基金指数全年表现不及比特币。截至第四季度，彭博银河比特币指数（Bloomberg Galaxy Bitcoin Index）上涨153.01%，彭博银河加密货币指数（Bloomberg Galaxy Crypto Index，BCGI）上涨139.56%。VisionTrack综合指数（VisionTrack Composite Index）上涨64.02%，VisionTrack基本面指数（VisionTrack Fundamental Index）上涨101.96%，VisionTrack量化方向指数（VisionTrack Quant Directional Index）上涨56.41%，VisionTrack市场中性指数（VisionTrack Market Neutral Index）上涨18.48%。正如我们在第二季度机构对冲基金和风险投资报告中所指出的，2023年开局类似2019年，即在重大下跌年份之后出现反弹收益。2019年，比特币表现优于精选ETF和基准指数，上涨94.37%。同期，VisionTrack基本面指数上涨22.4%，VisionTrack量化方向指数上涨38.89%，VisionTrack市场中性指数上涨16.92%。2019年，比特币在下半年表现挣扎，六个月中有五个月月度表现下跌。10月是2019年下半年比特币唯一上涨的月份（+10.19%）。从当年7月底到12月底，比特币下跌28.83%，VisionTrack综合指数下跌14.92%。</w:t>
      </w:r>
    </w:p>
    <w:p>
      <w:pPr>
        <w:pStyle w:val="正文内容"/>
        <w:spacing w:before="0" w:after="0" w:line="240" w:lineRule="auto"/>
        <w:ind w:left="0" w:right="0" w:firstLine="560"/>
        <w:jc w:val="both"/>
      </w:pPr>
      <w:r>
        <w:rPr>
          <w:rFonts w:ascii="Times New Roman" w:hAnsi="Times New Roman" w:cs="Times New Roman" w:eastAsia="仿宋"/>
          <w:b w:val="0"/>
          <w:sz w:val="28"/>
        </w:rPr>
        <w:t>在同一时间段内，VisionTrack基本面指数（Fundamental Index）下跌了24.71%，VisionTrack量化方向指数（Quant Directional Index）下跌了10.45%，而VisionTrack市场中性指数（Market Neutral Index）上涨了1.60%。2023年下半年与2019年下半年相比，比特币（Bitcoin，BTC）的情况截然不同。2023年，比特币在秋季和初冬上涨，从10月份的强劲表现开始。行业内称为“Uptober”，比特币上涨了28.34%，主要受交易所交易基金（ETF）预期推动，再加上比特币期权市场的伽马挤压（gamma squeeze）加剧了涨势。10月，彭博社（Bloomberg）、路透社（Reuters）等媒体报道显示，美国证券交易委员会（Securities &amp; Exchange Commission，SEC）与ETF申请人的讨论出现了真正的积极势头。尽管并非确定无疑且受到怀疑，但彭博分析师James Seyffart和Eric Balchunas在10月预估，到2024年1月美国比特币现货ETF（US BTC Spot ETF）获批概率为90%，进一步激发了行业热情。</w:t>
      </w:r>
    </w:p>
    <w:p>
      <w:pPr>
        <w:pStyle w:val="正文内容"/>
        <w:spacing w:before="0" w:after="0" w:line="240" w:lineRule="auto"/>
        <w:ind w:left="0" w:right="0" w:firstLine="560"/>
        <w:jc w:val="both"/>
      </w:pPr>
      <w:r>
        <w:rPr>
          <w:rFonts w:ascii="Times New Roman" w:hAnsi="Times New Roman" w:cs="Times New Roman" w:eastAsia="仿宋"/>
          <w:b w:val="0"/>
          <w:sz w:val="28"/>
        </w:rPr>
        <w:t>考虑到VisionTrack的流动加密对冲基金（liquid crypto hedge fund）成分基金以美元计价的净费用后业绩，2023年只有约3.9%的经理跑赢了比特币。2019年这一数字为5.9%。正如多次指出的，最大的贝塔资产（beta assets）在周期开始时表现优异，而配置者在2023年已做好准备。在预期将由比特币主导的一年中，美国资产管理公司减少了对加密对冲基金的配置。对冲基金难以筹集资本，因为它们按月未能同时跑赢比特币（BTC）和银河加密指数（BCGI），而这两者是不计其数基金的非官方基准。比特币在全年前三季度持续强劲的表现，使得第四季度所有主动策略的新认购竞争加剧。为应对艰难的融资环境，一些主动管理基金策略在2023年下半年开始提供以比特币计价的份额类别（BTC-denominated share classes），以吸引投资者。</w:t>
      </w:r>
    </w:p>
    <w:p>
      <w:pPr>
        <w:pStyle w:val="正文内容"/>
        <w:spacing w:before="0" w:after="0" w:line="240" w:lineRule="auto"/>
        <w:ind w:left="0" w:right="0" w:firstLine="560"/>
        <w:jc w:val="both"/>
      </w:pPr>
      <w:r>
        <w:rPr>
          <w:rFonts w:ascii="Times New Roman" w:hAnsi="Times New Roman" w:cs="Times New Roman" w:eastAsia="仿宋"/>
          <w:b w:val="0"/>
          <w:sz w:val="28"/>
        </w:rPr>
        <w:t>VisionTrack加密对冲基金指数（VisionTrack Crypto Hedge Fund Indices）显示，量化方向策略（Quant Directional Strategies）在2023年第四季度创下自2021年第一季度以来的最佳季度表现，平均上涨43.75%，年终大幅超越前几个季度。多家公司在年末最后几个月看到基金认购增加，表明流动量化策略可能在2024年迎来更多融资。第四季度的正超额收益，尤其是11月和12月，很大程度上受替代加密货币（altcoins）以及对美国比特币现货获批的 excitement 驱动。截至季度末，考虑市值约10亿美元或以上的加密资产，Solana（SOL）上涨401.9%，Sei（SEI）上涨377.1%，Injective（INJ）上涨373.3%，Avalanche（AVAX）上涨321.1%，Near（NEAR）上涨227.1%，Celestia（TIA）其流动代币上市仅两个月涨幅达301%。量化方向和市场中性策略在顶级加密资产及替代加密货币价格上涨中处于有利位置，因为流动资产的交易量和波动性回归。随着情绪持续改善，顶级叙事将比特币推至年度高点，新的叙事和 excitement 推动价格进一步走高，为许多经过考验的经理展示了成功的交易机会。</w:t>
      </w:r>
    </w:p>
    <w:p>
      <w:pPr>
        <w:pStyle w:val="正文内容"/>
        <w:spacing w:before="0" w:after="0" w:line="240" w:lineRule="auto"/>
        <w:ind w:left="0" w:right="0" w:firstLine="560"/>
        <w:jc w:val="both"/>
      </w:pPr>
      <w:r>
        <w:rPr>
          <w:rFonts w:ascii="Times New Roman" w:hAnsi="Times New Roman" w:cs="Times New Roman" w:eastAsia="仿宋"/>
          <w:b w:val="0"/>
          <w:sz w:val="28"/>
        </w:rPr>
        <w:t>历史上，比特币计价份额类别主要作为财务管理和评估管理解决方案的一种方式。投资者基础通常针对比特币矿工（Bitcoin Miners）、高净值个人（HNWIs）、家族办公室（Family Offices）、加密公司和管理现有加密资产敞口的基金会。主动管理团队通常以便利性和更熟悉的托管解决方案为由，为许多渴望维持或扩大比特币持仓的感兴趣投资者提供定制基金。然而，在第四季度，许多基金经理将这些策略视为与单一资产比特币产品（尤其是备受期待的美国比特币现货ETF）竞争的手段，目标是年化收益率比特币+10-15%。根据VisionTrack，这些基金以比特币计价的回报在2023年为+7.59%，对该分类而言是一个令人振奋的开端，尽管样本规模较小。</w:t>
      </w:r>
    </w:p>
    <w:p>
      <w:pPr>
        <w:pStyle w:val="正文内容"/>
        <w:spacing w:before="0" w:after="0" w:line="240" w:lineRule="auto"/>
        <w:ind w:left="0" w:right="0" w:firstLine="560"/>
        <w:jc w:val="both"/>
      </w:pPr>
      <w:r>
        <w:rPr>
          <w:rFonts w:ascii="Times New Roman" w:hAnsi="Times New Roman" w:cs="Times New Roman" w:eastAsia="仿宋"/>
          <w:b w:val="0"/>
          <w:sz w:val="28"/>
        </w:rPr>
        <w:t>考虑符合VisionTrack指数纳入要求的加密基金策略，在2023年第四季度，VisionTrack基本面指数录得自2021年第一季度（+186.15%）以来最佳季度表现+57.85%，仅略低于2023年第四季度比特币的+58.12%（包含早期预估）。值得注意的是，基本面指数连续三个月实现两位数增长，这是自2021年第一季度以来的首次，也是自2018年1月以来仅有的第二次。尽管季度表现几乎超越比特币的涨势，但基本面指数仅有一次实现连续两个季度的正向超额收益。包含早期预估，2023年全年至12月，加密基本面策略平均收益率为+85.70%，量化方向基金平均+71.55%，市场中性基金平均+14.54%。对于表现位于前两个四分位的基金，对冲基金基本面策略和量化策略在全年表现相近。然而，考虑到下半年，量化策略在前四分位中表现出强劲的超额收益。尽管多数基金全年大部分时间追逐比特币，但基本面与量化方向类别的前两个四分位在2023年下半年均跑赢了比特币（+38.75%）。</w:t>
      </w:r>
    </w:p>
    <w:p>
      <w:pPr>
        <w:pStyle w:val="正文内容"/>
        <w:spacing w:before="0" w:after="0" w:line="240" w:lineRule="auto"/>
        <w:ind w:left="0" w:right="0" w:firstLine="560"/>
        <w:jc w:val="both"/>
      </w:pPr>
      <w:r>
        <w:rPr>
          <w:rFonts w:ascii="Times New Roman" w:hAnsi="Times New Roman" w:cs="Times New Roman" w:eastAsia="仿宋"/>
          <w:b w:val="0"/>
          <w:sz w:val="28"/>
        </w:rPr>
        <w:t>VisionTrack四分位数显示，2023年全年（2023年1月至12月），综合指数平均收益66.57%，基本面指数85.70%，量化方向指数71.55%，市场中性指数14.54%。中位数分别为66.54%、81.62%、75.88%、12.17%。第一四分位：综合指数&gt;350.8%，基本面指数&gt;350.8%，量化方向指数&gt;329.2%，市场中性指数&gt;50.8%。第二四分位：综合指数在90.5%至350.8%之间，基本面指数在96.7%至350.8%之间，量化方向指数在96.4%至329.2%之间，市场中性指数在18.6%至50.8%之间。第三四分位：综合指数在66.5%至90.6%之间，基本面指数在81.6%至96.8%之间，量化方向指数在75.9%至96.5%之间，市场中性指数在12.2%至18.7%之间。第四四分位：综合指数&lt;17.1%，基本面指数&lt;52.2%，量化方向指数&lt;24.5%，市场中性指数&lt;7.6%。</w:t>
      </w:r>
    </w:p>
    <w:p>
      <w:pPr>
        <w:pStyle w:val="正文内容"/>
        <w:spacing w:before="0" w:after="0" w:line="240" w:lineRule="auto"/>
        <w:ind w:left="0" w:right="0" w:firstLine="560"/>
        <w:jc w:val="both"/>
      </w:pPr>
      <w:r>
        <w:rPr>
          <w:rFonts w:ascii="Times New Roman" w:hAnsi="Times New Roman" w:cs="Times New Roman" w:eastAsia="仿宋"/>
          <w:b w:val="0"/>
          <w:sz w:val="28"/>
        </w:rPr>
        <w:t>2023年下半年（2023年7月至12月），综合指数平均收益29.69%，基本面指数36.44%，量化方向指数33.54%，市场中性指数8.04%。中位数分别为24.91%、33.52%、28.14%、5.34%。第一四分位：综合指数&gt;124.6%，基本面指数&gt;90.0%，量化方向指数&gt;124.6%，市场中性指数&gt;34.5%。第二四分位：综合指数在41.9%至124.6%之间，基本面指数在49.9%至90.0%之间，量化方向指数在46.2%至124.6%之间，市场中性指数在9.4%至34.5%之间。第三四分位：综合指数在24.9%至42.0%之间，基本面指数在33.5%至50.0%之间，量化方向指数在28.1%至46.3%之间，市场中性指数在5.3%至9.5%之间。第四四分位：综合指数&lt;8.3%，基本面指数&lt;17.3%，量化方向指数&lt;13.5%，市场中性指数&lt;4.9%。VisionTrack不生成加密对冲基金成分基金的详细绩效排名。</w:t>
      </w:r>
    </w:p>
    <w:p>
      <w:pPr>
        <w:pStyle w:val="正文内容"/>
        <w:spacing w:before="0" w:after="0" w:line="240" w:lineRule="auto"/>
        <w:ind w:left="0" w:right="0" w:firstLine="560"/>
        <w:jc w:val="both"/>
      </w:pPr>
      <w:r>
        <w:rPr>
          <w:rFonts w:ascii="Times New Roman" w:hAnsi="Times New Roman" w:cs="Times New Roman" w:eastAsia="仿宋"/>
          <w:b w:val="0"/>
          <w:sz w:val="28"/>
        </w:rPr>
        <w:t>以下表现四分位数可帮助管理人和配置者了解不同策略的风险收益特征，这些策略基于VisionTrack的基金分类。分类描述四种细分类型，复制了VisionTrack指数所用的底层方法：综合型、基本面型、量化方向型和市场中性型。对成分基金进行了调整，以最大程度纳入历史基金表现，包括选定的单独管理账户（SMA）。要纳入四分位数分析，基金必须报告扣除费用后的净收益，并在给定时间范围内具有完整的月度表现细节。加密货币基金策略若有月度表现数据缺失，则不纳入分析。</w:t>
      </w:r>
    </w:p>
    <w:p>
      <w:pPr>
        <w:pStyle w:val="正文内容"/>
        <w:spacing w:before="0" w:after="0" w:line="240" w:lineRule="auto"/>
        <w:ind w:left="0" w:right="0" w:firstLine="560"/>
        <w:jc w:val="both"/>
      </w:pPr>
      <w:r>
        <w:rPr>
          <w:rFonts w:ascii="Times New Roman" w:hAnsi="Times New Roman" w:cs="Times New Roman" w:eastAsia="仿宋"/>
          <w:b w:val="0"/>
          <w:sz w:val="28"/>
        </w:rPr>
        <w:t>在2023年第四季度，加密货币专用流动对冲基金资产管理规模加速增长，但前20大流动对冲基金仍持有约71.6%的对冲基金总AUM。2022年底这一比例为75%，这是一个略微积极的信号，表明净新基金正在增长加密货币对冲基金市场。然而，对于顶级加密货币基金管理人来说，面对艰难的2022年和上一轮周期的新一波对冲基金，流动策略的募资面临诸多挑战。尽管2023年前三个季度基金管理人难以超越被动/贝塔产品，但同比来看，前两个四分位数的基金管理人在2023年底仍实现了AUM增长。</w:t>
      </w:r>
    </w:p>
    <w:p>
      <w:pPr>
        <w:pStyle w:val="正文内容"/>
        <w:spacing w:before="0" w:after="0" w:line="240" w:lineRule="auto"/>
        <w:ind w:left="0" w:right="0" w:firstLine="560"/>
        <w:jc w:val="both"/>
      </w:pPr>
      <w:r>
        <w:rPr>
          <w:rFonts w:ascii="Times New Roman" w:hAnsi="Times New Roman" w:cs="Times New Roman" w:eastAsia="仿宋"/>
          <w:b w:val="0"/>
          <w:sz w:val="28"/>
        </w:rPr>
        <w:t>尽管VisionTrack目前不收集申购/赎回细节，但按基金策略收集月度AUM。如果按策略的AUM增长率超过报告的总表现，则假设管理人看到的申购增加。VisionTrack收集的数据显示，从2023年2月到2023年9月，许多基金管理人的加密货币对冲基金规模趋于平稳。然而，从9月到12月，加密货币对冲基金的总AUM从107.5亿美元增长至152.2亿美元，增幅为+41.62%。同期，基本面策略增幅最大，总AUM从78.2亿美元增至114.6亿美元。量化方向策略年底约为18.1亿美元，市场中性基金增至19.7亿美元。</w:t>
      </w:r>
    </w:p>
    <w:p>
      <w:pPr>
        <w:pStyle w:val="正文内容"/>
        <w:spacing w:before="0" w:after="0" w:line="240" w:lineRule="auto"/>
        <w:ind w:left="0" w:right="0" w:firstLine="560"/>
        <w:jc w:val="both"/>
      </w:pPr>
      <w:r>
        <w:rPr>
          <w:rFonts w:ascii="Times New Roman" w:hAnsi="Times New Roman" w:cs="Times New Roman" w:eastAsia="仿宋"/>
          <w:b w:val="0"/>
          <w:sz w:val="28"/>
        </w:rPr>
        <w:t>被动/贝塔类产品（包括单一资产工具和多资产指数产品）保持加密货币基金市场主导地位。从9月底到12月底，所有流动基金策略的AUM从417.3亿美元增至636.7亿美元。年底被动/贝塔类产品持有约76%的份额。在636.7亿美元中，约328亿美元由灰度的比特币和以太坊信托持有。前十大被动/贝塔类产品在12月底共持有377亿美元的总AUM。基本面基金的中位数规模全年温和增长，至3405万美元，为年内最高值，但与2021年初相比仍较小。量化方向基金年底录得可观增长，中位数规模达4000万美元。市场中性基金年底达到1700万美元的创纪录中位数规模，是该类别的一个显著成就。</w:t>
      </w:r>
    </w:p>
    <w:p>
      <w:pPr>
        <w:pStyle w:val="正文内容"/>
        <w:spacing w:before="0" w:after="0" w:line="240" w:lineRule="auto"/>
        <w:ind w:left="0" w:right="0" w:firstLine="560"/>
        <w:jc w:val="both"/>
      </w:pPr>
      <w:r>
        <w:rPr>
          <w:rFonts w:ascii="Times New Roman" w:hAnsi="Times New Roman" w:cs="Times New Roman" w:eastAsia="仿宋"/>
          <w:b w:val="0"/>
          <w:sz w:val="28"/>
        </w:rPr>
        <w:t>年度来看，2023年全球专注于加密货币/区块链的风险投资公司通过58只基金共募集57.5亿美元，低于2022年创纪录的262只基金377亿美元。从全球风险投资格局看，根据PitchBook数据，所有行业VC基金募集总额从2022年的2986.5亿美元降至2023年的1627.3亿美元，降幅为-45.51%。比较加密货币风险投资公司在全球VC募资中的份额，加密货币基金约占全球募资的3.53%，低于2022年12.62%的高点。2023年风险投资募资也低于2021年的份额（5.65%），但高于此前所有年份。</w:t>
      </w:r>
    </w:p>
    <w:p>
      <w:pPr>
        <w:pStyle w:val="正文内容"/>
        <w:spacing w:before="0" w:after="0" w:line="240" w:lineRule="auto"/>
        <w:ind w:left="0" w:right="0" w:firstLine="560"/>
        <w:jc w:val="both"/>
      </w:pPr>
      <w:r>
        <w:rPr>
          <w:rFonts w:ascii="Times New Roman" w:hAnsi="Times New Roman" w:cs="Times New Roman" w:eastAsia="仿宋"/>
          <w:b w:val="0"/>
          <w:sz w:val="28"/>
        </w:rPr>
        <w:t>风险投资策略通常在加密货币估值较高且顶级加密货币表现良好时募资，因为此时需求达到高峰。随着估值降温，机构配置和兴趣下降，加密货币风险投资策略的募资变得具有挑战性。自2022年第三季度以来，这基本上是加密货币风险投资募资的情况，被动/贝塔产品在2023年占据中心地位。正如VisionTrack过去几个季度的多份研究报告所述，加密货币风险投资募资直到2021年才成为主要的基金工具。尽管2023年募资数据惨淡，但该策略类型自2021年前水平以来已取得进一步进展。</w:t>
      </w:r>
    </w:p>
    <w:p>
      <w:pPr>
        <w:pStyle w:val="正文内容"/>
        <w:spacing w:before="0" w:after="0" w:line="240" w:lineRule="auto"/>
        <w:ind w:left="0" w:right="0" w:firstLine="560"/>
        <w:jc w:val="both"/>
      </w:pPr>
      <w:r>
        <w:rPr>
          <w:rFonts w:ascii="Times New Roman" w:hAnsi="Times New Roman" w:cs="Times New Roman" w:eastAsia="仿宋"/>
          <w:b w:val="0"/>
          <w:sz w:val="28"/>
        </w:rPr>
        <w:t>随着市场在2023年大部分时间聚焦于被动/贝塔单一资产和多资产指数产品，如果加密货币原生配置者计划在2024年晚些时候转向风险投资基金产品，加密货币风险投资可能会回归。风险投资基金对区块链/加密货币生态系统的发展至关重要，因为它们不仅通过私募市场估值的季度标记提供下行保护，而且还是新公司的主要资金来源。尽管历史上只有一次真正的低迷期导致加密货币风险投资基金大规模募资，但我们预计较大的加密货币风险投资公司将在2024年带着新基金回归。2023年第四季度，7只基金共募集6.89亿美元，为2020年第三季度以来的最低水平。即使到2023年第四季度，2022年第二季度募集的资本仍超过此后所有季度的总和（155.8亿美元）。</w:t>
      </w:r>
    </w:p>
    <w:p>
      <w:pPr>
        <w:pStyle w:val="正文内容"/>
        <w:spacing w:before="0" w:after="0" w:line="240" w:lineRule="auto"/>
        <w:ind w:left="0" w:right="0" w:firstLine="560"/>
        <w:jc w:val="both"/>
      </w:pPr>
      <w:r>
        <w:rPr>
          <w:rFonts w:ascii="Times New Roman" w:hAnsi="Times New Roman" w:cs="Times New Roman" w:eastAsia="仿宋"/>
          <w:b w:val="0"/>
          <w:sz w:val="28"/>
        </w:rPr>
        <w:t>2022年几家主要风险投资支持的初创公司倒闭，包括一些由最知名传统风投公司支持的公司，这继续成为抑制配置者投资该行业的因素。考虑到为区块链/加密货币行业募资的风投公司的投资者构成，2023年加密货币原生公司约占已关闭基金的72%，传统投资者支持了该行业的募资。按年度平均计算，加密货币原生公司关闭了81%的专注于加密货币风险投资的基金。传统投资者在2022年获得了最大份额，当时加密货币原生公司仅关闭了71%的基金。考虑到过去五年配置者的周期性轮换，预计加密货币原生公司和传统投资者将在2024年年中带着新基金重返市场。</w:t>
      </w:r>
    </w:p>
    <w:p>
      <w:pPr>
        <w:pStyle w:val="正文内容"/>
        <w:spacing w:before="0" w:after="0" w:line="240" w:lineRule="auto"/>
        <w:ind w:left="0" w:right="0" w:firstLine="560"/>
        <w:jc w:val="both"/>
      </w:pPr>
      <w:r>
        <w:rPr>
          <w:rFonts w:ascii="Times New Roman" w:hAnsi="Times New Roman" w:cs="Times New Roman" w:eastAsia="仿宋"/>
          <w:b w:val="0"/>
          <w:sz w:val="28"/>
        </w:rPr>
        <w:t>鉴于加密货币风险投资公司的跑道，这一募资周期对该行业至关重要。迄今为止，很少有基金被授权进行后期阶段交易，许多基金关注早期阶段活动。对于自2022年以来到2023年完成部署的基金，许多风险投资支持的企业将处于其公司生命周期更靠后的阶段，这表明后期融资轮次应该即将到来。加密货币风险投资基金从2020年第三季度以来，2023年第四季度募资水平最低，但预计2024年大型风投公司将回归。</w:t>
      </w:r>
    </w:p>
    <w:p>
      <w:pPr>
        <w:pStyle w:val="正文内容"/>
        <w:spacing w:before="0" w:after="0" w:line="240" w:lineRule="auto"/>
        <w:ind w:left="0" w:right="0" w:firstLine="560"/>
        <w:jc w:val="both"/>
      </w:pPr>
      <w:r>
        <w:rPr>
          <w:rFonts w:ascii="Times New Roman" w:hAnsi="Times New Roman" w:cs="Times New Roman" w:eastAsia="仿宋"/>
          <w:b w:val="0"/>
          <w:sz w:val="28"/>
        </w:rPr>
        <w:t>为最好地推动投资组合公司进入下一阶段，出现后期基金募资以支持这些公司并不令人意外。对于加密风险投资基金而言，这将是所募集风险基金类型迈出的重要一步。从历史上看，由于区块链/加密市场不如传统风险投资稳健，授权后期加密风险基金募资的情况很少见。VisionTrack收集的数据显示，过去10年募资的785只加密专项风险基金中，有90只被命名为基金二期、基金三期或更高编号。这表明近90%的加密专项风险基金是加密原生公司和传统投资者首次涉足加密领域的基金。</w:t>
      </w:r>
    </w:p>
    <w:p>
      <w:pPr>
        <w:pStyle w:val="正文内容"/>
        <w:spacing w:before="0" w:after="0" w:line="240" w:lineRule="auto"/>
        <w:ind w:left="0" w:right="0" w:firstLine="560"/>
        <w:jc w:val="both"/>
      </w:pPr>
      <w:r>
        <w:rPr>
          <w:rFonts w:ascii="Times New Roman" w:hAnsi="Times New Roman" w:cs="Times New Roman" w:eastAsia="仿宋"/>
          <w:b w:val="0"/>
          <w:sz w:val="28"/>
        </w:rPr>
        <w:t>根据Galaxy Research收集的数据，2023年加密风险投资交易活动共计1998笔交易，交易价值98亿美元。年度总额低于3795笔交易、319亿美元的水平。第四季度，风险投资交易活动依然低迷，359笔交易贡献了19.2亿美元的交易价值。考虑到早期报告的细节，2023年第四季度的交易数量是自2020年第二季度301笔交易以来的最低水平，自2022年第一季度达到1331笔交易的峰值以来，季度交易数量逐步放缓。随着该领域的资本持续受限，基金部署能力接近上限，后期赢家吸收了剩余基金价值。2023年第四季度，后期风险投资交易占交易数量的14.48%，交易价值的15.83%。从各阶段交易来看，这是历史上后期交易所占季度比例的最高水平。相反，种子前阶段交易在2023年第四季度显著下降，359笔交易中仅有32笔。种子前阶段交易数量仅占8.91%，为2016年第一季度以来的最低水平。种子前阶段交易占2023年第四季度交易价值的15.43%，低于2016年第一季度以来19.14%的季度平均水平。</w:t>
      </w:r>
    </w:p>
    <w:p>
      <w:pPr>
        <w:pStyle w:val="正文内容"/>
        <w:spacing w:before="0" w:after="0" w:line="240" w:lineRule="auto"/>
        <w:ind w:left="0" w:right="0" w:firstLine="560"/>
        <w:jc w:val="both"/>
      </w:pPr>
      <w:r>
        <w:rPr>
          <w:rFonts w:ascii="Times New Roman" w:hAnsi="Times New Roman" w:cs="Times New Roman" w:eastAsia="仿宋"/>
          <w:b w:val="0"/>
          <w:sz w:val="28"/>
        </w:rPr>
        <w:t>正如我们在2023年中期报告中指出的，风险投资者正在利用后期交易估值并支持有价值的投资组合公司。这一趋势到年底没有改变，交易活动减少，各阶段估值保持平稳。由于加密风险投资募资市场在过去六个季度一直面临困境，资金向头部投资组合公司集中并不令人意外。年度顶级交易包括Wormhole（2.25亿美元）、Line Next（1.4亿美元）、Blockstream（1.25亿美元）、LayerZero（1.2亿美元）和Worldcoin（1.15亿美元），这些通常都是后期交易。考虑到2023年的顶级交易，仅有八笔交易价值超过1亿美元。2023年没有一笔交易进入过去十年加密风险投资交易前50名的记录。简而言之，风险投资交易活动远未达到历史水平。</w:t>
      </w:r>
    </w:p>
    <w:p>
      <w:pPr>
        <w:pStyle w:val="正文内容"/>
        <w:spacing w:before="0" w:after="0" w:line="240" w:lineRule="auto"/>
        <w:ind w:left="0" w:right="0" w:firstLine="560"/>
        <w:jc w:val="both"/>
      </w:pPr>
      <w:r>
        <w:rPr>
          <w:rFonts w:ascii="Times New Roman" w:hAnsi="Times New Roman" w:cs="Times New Roman" w:eastAsia="仿宋"/>
          <w:b w:val="0"/>
          <w:sz w:val="28"/>
        </w:rPr>
        <w:t>加密风险投资交易的中位交易规模从第三季度的325万美元降至第四季度的300万美元。对于所有交易而言，自2016年以来的历史中位交易价值为140万美元。积极的一面是，过去12个季度均超过了这一中位交易价值。自2016年以来，仅有三个季度的中位交易规模超过300万美元，这表明尽管交易数量和交易价值下降，但早期交易成本更高。换句话说，加密风险投资者不仅自2016年以来提高了最低支票金额，而且逐年变得更加具有战略性地部署资金。此外，几个季度以来首次，所有风险投资的中位交易规模超过了加密风险投资，这表明加密公司的估值已经下降。在估值方面，中位投前估值从第三季度的2113万美元降至第四季度的1080万美元，这主要归因于交易数量减少。中位投后估值也从第三季度的2800万美元降至第四季度的1400万美元。中位投前和投后估值均大幅下降，加之缺乏募资，表明对风险投资支持较少的公司估值更为保守，资金向头部投资组合公司集中，且估值低于历史水平。这并不代表现有投资组合公司的估值下调，而是后期阶段的新公司面临较低的历史估值。对于加密风险投资者而言，这是一个积极信号。对于风险投资支持的加密公司来说，情况略有不同。总体而言，考虑到2020年之前的市场，无论是对加密风险投资者还是风险投资支持的公司，该行业在交易规模和估值方面都取得了进展。尽管加密风险投资者面临挑战，但自2020年以来，季度交易数量仍处于或接近2016年以来的季度平均水平，且估值上升，这对不断增长的风险投资市场是一个积极信号。</w:t>
      </w:r>
    </w:p>
    <w:p>
      <w:pPr>
        <w:pStyle w:val="正文内容"/>
        <w:spacing w:before="0" w:after="0" w:line="240" w:lineRule="auto"/>
        <w:ind w:left="0" w:right="0" w:firstLine="560"/>
        <w:jc w:val="both"/>
      </w:pPr>
      <w:r>
        <w:rPr>
          <w:rFonts w:ascii="Times New Roman" w:hAnsi="Times New Roman" w:cs="Times New Roman" w:eastAsia="仿宋"/>
          <w:b w:val="0"/>
          <w:sz w:val="28"/>
        </w:rPr>
        <w:t>对市场整体而言，获取准确的风险投资交易数据仍然是区块链/加密市场的一个挑战，这主要是因为其规模小于传统风险投资市场。例如，截至2023年底，在已知投前和投后估值的交易中，使用PitchBook数据和Galaxy的方法，加密领域总计记录了1632笔交易。而在传统风险投资市场的所有风险投资交易中，这一数字为34，471。此外，有关交易分类、行业、代币化资产、归属时间表、交易价值、交易数量和二级交易的信息，对于加密风险投资者来说往往是模糊和武断的数据集。这最终导致估值差异和风险投资交易市场的碎片化，尤其是在二级市场。当考虑旨在改进市场覆盖范围的风险投资交易数据集时，交易价值和数量的差异正是这一市场挑战的典型例证。Galaxy Research与PitchBook Data的方法指出，2023年有998亿美元，涉及1998笔交易。DeFiLlama的年底交易总价值为62亿美元，涉及720笔交易。Crypto Valley的年度区块链风险投资报告指出，98亿美元，涉及1031笔交易。The Block记录了107亿美元，涉及1819笔交易。Messari记录了196亿美元，其中包括Stripe的65亿美元融资作为加密相关交易。剔除Stripe后，Messari的交易总价值为131亿美元，涉及1698笔交易。虽然少数风险投资交易数据集在交易价值和数量上有相似之处，但交易分类和分类法使得在资产层面上评估风险投资市场变得困难。一家促进加密集成的金融科技公司是否应被归类为加密风险投资，这仍然是一个悬而未决的问题。</w:t>
      </w:r>
    </w:p>
    <w:p>
      <w:pPr>
        <w:pStyle w:val="正文内容"/>
        <w:spacing w:before="0" w:after="0" w:line="240" w:lineRule="auto"/>
        <w:ind w:left="0" w:right="0" w:firstLine="560"/>
        <w:jc w:val="both"/>
      </w:pPr>
      <w:r>
        <w:rPr>
          <w:rFonts w:ascii="Times New Roman" w:hAnsi="Times New Roman" w:cs="Times New Roman" w:eastAsia="仿宋"/>
          <w:b w:val="0"/>
          <w:sz w:val="28"/>
        </w:rPr>
        <w:t>交易条款、股权结构表以及轮次之间的间隔在加密风险投资中仍不如传统风险投资透明，这为风险投资支持的加密企业创造了具有挑战性的管道或退出途径。对于一个“迫切需要进行IPO复兴”的风险投资市场来说，风险投资退出对加密支持的公司尤其具有挑战性。如果加密风险投资基金在2024年募资不佳，我们将要么看到与前六个季度类似的低迷交易活动持续，要么公司将寻求公开市场以获取流动性（如果它们不彻底关闭的话）。如果近期募资的风险投资基金（尤其是2022年份基金）开始进行分配，这肯定会有助于募资周期，并对2024年底的交易活动和估值带来净收益。此外，早期年份基金（数据截至2023年）的出色表现，无疑有助于为更多机构配置风险投资基金提供依据。VisionTrack计划在2024年年中发布2023年加密风险投资策略的年底业绩。这些工具可能带来4000亿美元的机会。这是一个令人振奋的数字，但我们尚未看到任何一致性。Superstate和Securitize等加密原生公司正在致力于解决这个问题，并很大程度上为投资者铺平了道路。在目前可识别的代币化基金产品中，多数募集的基金被归类为私人信贷。然而，我们看到了更多另类基金，例如KKR的Healthcare Growth II基金和大宗商品基金获得了行业兴趣。在经历几个季度对真实世界资产（Real World Assets，RWA）的行业热情之后，2023年第四季度，Apollo和摩根大通（JP Morgan）在代币化基金产品开发方面也发布了一项重大公告。</w:t>
      </w:r>
    </w:p>
    <w:p>
      <w:pPr>
        <w:pStyle w:val="正文内容"/>
        <w:spacing w:before="0" w:after="0" w:line="240" w:lineRule="auto"/>
        <w:ind w:left="0" w:right="0" w:firstLine="560"/>
        <w:jc w:val="both"/>
      </w:pPr>
      <w:r>
        <w:rPr>
          <w:rFonts w:ascii="Times New Roman" w:hAnsi="Times New Roman" w:cs="Times New Roman" w:eastAsia="仿宋"/>
          <w:b w:val="0"/>
          <w:sz w:val="28"/>
        </w:rPr>
        <w:t>两家投资巨头与基础设施提供商Oasis Pro和Provenance Blockchain合作开展了Project Guardian，利用私有区块链管理代币化资产和基金产品。加密对冲基金和风险投资行业是否会朝着类似的运营方向发展，我们还需拭目以待。Metamask、Magic Eden和Audius等公司是否应被纳入风险投资交易活动？随着越来越多的金融科技和传统金融服务公司整合区块链/加密货币基础设施以及Web3商业模式，在报告数据中应披露剔除这些公司的情况。虽然Stripe可能并非加密货币原生公司且未获加密货币原生支持，但该公司正在整合基础设施和技术以获取显著市场份额。这对风险投资支持的加密企业而言是一个重要考量。</w:t>
      </w:r>
    </w:p>
    <w:p>
      <w:pPr>
        <w:pStyle w:val="正文内容"/>
        <w:spacing w:before="0" w:after="0" w:line="240" w:lineRule="auto"/>
        <w:ind w:left="0" w:right="0" w:firstLine="560"/>
        <w:jc w:val="both"/>
      </w:pPr>
      <w:r>
        <w:rPr>
          <w:rFonts w:ascii="Times New Roman" w:hAnsi="Times New Roman" w:cs="Times New Roman" w:eastAsia="仿宋"/>
          <w:b w:val="0"/>
          <w:sz w:val="28"/>
        </w:rPr>
        <w:t>由于数据收集缺乏标准化，风险投资交易数据可能存在不准确之处。第三方数据公司、基金管理人和估值专家都在努力解决这一问题。然而，这种碎片化状况引发了对加密风险投资基金最终业绩的质疑。此外，优质信息的缺乏限制了投资者基础，抑制了更多加密风险投资交易的发生。另外，与链上基金相关的信息质量也有待提升。对机构加密投资者而言，2023年无疑是一个重建之年，重点在于恢复市场信心和测试新产品。尽管并非新鲜事物，代币化基金产品和现实世界资产在低成交量和低波动时期仍保持了投资者的兴趣。</w:t>
      </w:r>
    </w:p>
    <w:p>
      <w:pPr>
        <w:pStyle w:val="正文内容"/>
        <w:spacing w:before="0" w:after="0" w:line="240" w:lineRule="auto"/>
        <w:ind w:left="0" w:right="0" w:firstLine="560"/>
        <w:jc w:val="both"/>
      </w:pPr>
      <w:r>
        <w:rPr>
          <w:rFonts w:ascii="Times New Roman" w:hAnsi="Times New Roman" w:cs="Times New Roman" w:eastAsia="仿宋"/>
          <w:b w:val="0"/>
          <w:sz w:val="28"/>
        </w:rPr>
        <w:t>机构质押产品，加上代币化货币市场基金和短期代币化国库券的流行，为投资者提供了方便的操作产品以减轻稳定币风险。2023年3月的银行流动性危机促使投资者考虑稳定币以外的现金等价物替代方案，从而吸引了活跃的主动管理基金涉足这些金融服务。加密对冲基金过去曾采用代币化投资策略，但该模式仍面临诸多挑战，且应用并不普遍。尽管许多公司试图将此类产品推向市场，但预计未来几年将有更多另类投资基金工具上链。贝恩咨询（Bain）在2023年底的报告表明，另类投资代币化将成为趋势。</w:t>
      </w:r>
    </w:p>
    <w:p>
      <w:pPr>
        <w:pStyle w:val="正文内容"/>
        <w:spacing w:before="0" w:after="0" w:line="240" w:lineRule="auto"/>
        <w:ind w:left="0" w:right="0" w:firstLine="560"/>
        <w:jc w:val="both"/>
      </w:pPr>
      <w:r>
        <w:rPr>
          <w:rFonts w:ascii="Times New Roman" w:hAnsi="Times New Roman" w:cs="Times New Roman" w:eastAsia="仿宋"/>
          <w:b w:val="0"/>
          <w:sz w:val="28"/>
        </w:rPr>
        <w:t>主动管理策略对于机构加密货币的发展至关重要。对冲基金和风险投资基金均为更广泛的加密用例的发展和应用提供支持体系。虽然业绩重要，但这些投资工具为2022年充满复杂性的行业提供了流动性和机遇。2023年的大部分时间可概括为许多加密对冲基金和风险投资公司的艰难时期，因为被动/贝塔产品主导了市场。正如以往周期所示，专注于提供优质机构级基金的经理，通常得到加密货币原生LP的支持，将能存活下来并在市场反弹中获益。从配置者的角度来看，与加密货币原生投资者相比，机构配置者通常难以通过合适的基金工具把握市场时机，因为即时的市场力量将配置者置于“当前趋势”中。</w:t>
      </w:r>
    </w:p>
    <w:p>
      <w:pPr>
        <w:pStyle w:val="正文内容"/>
        <w:spacing w:before="0" w:after="0" w:line="240" w:lineRule="auto"/>
        <w:ind w:left="0" w:right="0" w:firstLine="560"/>
        <w:jc w:val="both"/>
      </w:pPr>
      <w:r>
        <w:rPr>
          <w:rFonts w:ascii="Times New Roman" w:hAnsi="Times New Roman" w:cs="Times New Roman" w:eastAsia="仿宋"/>
          <w:b w:val="0"/>
          <w:sz w:val="28"/>
        </w:rPr>
        <w:t>摆脱零配置非常重要，这往往是配置者的第一步。然而，这些基金策略的吸引力在市场低迷时期变得更为清晰。例如，今年夏天是考虑中小盘基本面及量化方向敞口的绝佳时机。如果单一资产现货产品在2024年初表现良好，那么看到兴趣和热情推动市场向市场中性及风险投资基金产品轮动也就不足为奇了。结论与展望：如果您是数字资产基金经理，并希望将您的业绩结果贡献给VisionTrack以符合纳入我们VisionTrack指数的条件，请通过visiontrack@galaxy.com与我们联系。有关我们更新后的方法论以及可下载的月度数据，请访问我们的网站https://visiontrack.galaxy.com。</w:t>
      </w:r>
    </w:p>
    <w:p>
      <w:pPr>
        <w:pStyle w:val="正文内容"/>
        <w:spacing w:before="0" w:after="0" w:line="240" w:lineRule="auto"/>
        <w:ind w:left="0" w:right="0" w:firstLine="560"/>
        <w:jc w:val="both"/>
      </w:pPr>
      <w:r>
        <w:rPr>
          <w:rFonts w:ascii="Times New Roman" w:hAnsi="Times New Roman" w:cs="Times New Roman" w:eastAsia="仿宋"/>
          <w:b w:val="0"/>
          <w:sz w:val="28"/>
        </w:rPr>
        <w:t>联系方式：[1] BLOOMBERG是Bloomberg Finance L.P.的商标或服务标志。GALAXY是GDCM的商标。Bloomberg Finance L.P.及其关联公司（统称“Bloomberg”）与GDCM、基金及其各自关联公司（统称“Galaxy”）无关联。Bloomberg与Galaxy的合作关系是作为CFIX指数（“指数”）的管理人和计算代理人，该指数归Bloomberg所有。Bloomberg和Galaxy均不保证与指数或拟获取结果相关的任何数据或信息的及时性、准确性或完整性。Bloomberg和Galaxy均不对指数、与之相关的任何数据或数值，或任何以指数为组成部分或基于指数的金融产品或工具（“产品”），或从中获得的结果作任何明示或暗示的保证，并明确否认所有适销性和特定用途适用性的保证。</w:t>
      </w:r>
    </w:p>
    <w:p>
      <w:pPr>
        <w:pStyle w:val="正文内容"/>
        <w:spacing w:before="0" w:after="0" w:line="240" w:lineRule="auto"/>
        <w:ind w:left="0" w:right="0" w:firstLine="560"/>
        <w:jc w:val="both"/>
      </w:pPr>
      <w:r>
        <w:rPr>
          <w:rFonts w:ascii="Times New Roman" w:hAnsi="Times New Roman" w:cs="Times New Roman" w:eastAsia="仿宋"/>
          <w:b w:val="0"/>
          <w:sz w:val="28"/>
        </w:rPr>
        <w:t>在法律允许的最大范围内，Bloomberg、其许可方、Galaxy及其各自的员工、承包商、代理人、供应商和供应商均不对因指数、与之相关的任何数据或数值或任何产品而引起的任何直接、间接、后果性、附带、惩罚性或其他损害承担任何责任，无论是由于疏忽还是其他原因。证券交易通过Galaxy Digital Partners LLC（FINRA和SIPC成员）执行。VisionTrack数据仪表板和VisionTrack数据库仅供信息参考，不应作为任何投资决策的依据。本文档提供指向其他网站的链接，我们认为这些网站可能对您感兴趣。请注意，当您单击其中某个链接时，可能会跳转到与Galaxy无关的提供商的网站。这些链接网站及其提供商不受我们控制，我们对其内容或任何链接网站的正常运行不承担任何责任。包含任何链接并不意味着我们认可或采纳其中的陈述。我们鼓励您阅读这些链接网站的使用条款和隐私声明，因为其政策可能与我们的不同。</w:t>
      </w:r>
    </w:p>
    <w:p>
      <w:pPr>
        <w:pStyle w:val="正文内容"/>
        <w:spacing w:before="0" w:after="0" w:line="240" w:lineRule="auto"/>
        <w:ind w:left="0" w:right="0" w:firstLine="560"/>
        <w:jc w:val="both"/>
      </w:pPr>
      <w:r>
        <w:rPr>
          <w:rFonts w:ascii="Times New Roman" w:hAnsi="Times New Roman" w:cs="Times New Roman" w:eastAsia="仿宋"/>
          <w:b w:val="0"/>
          <w:sz w:val="28"/>
        </w:rPr>
        <w:t>本文档及其所含信息由Galaxy Digital Holdings LP及其关联公司（“Galaxy”）仅出于信息目的提供给您。未经Galaxy明确书面批准，不得以任何形式全部或部分复制或分发本文档。本文档中的任何信息或意见均不构成购买或出售任何咨询服务的要约，或招揽购买或出售任何咨询服务、证券、期货、期权或其他金融工具，或参与任何咨询服务或交易策略。本文档中的任何内容均不构成投资、法律或税务建议。您应自行对本文档中的信息进行调查和评估。基于本文档所含信息做出的任何决定均由读者自行承担全部责任。本文档中的某些陈述反映了Galaxy的观点、估计、意见或预测（可能基于专有模型和假设，特别是Galaxy对某些数字资产当前和未来市场的看法），且无法保证这些观点、估计、意见或预测目前准确或最终将实现。如果这些假设或模型不正确或情况发生变化，实际表现可能与此处包含的估计存在重大差异，且可能低于估计。Galaxy及其任何关联公司、股东、合伙人、成员、董事、高级职员、管理层、员工或代表均不对任何信息或其他信息（无论以书面或口头形式传达）的准确性或完整性作出任何明示或暗示的陈述或保证。上述各方明确否认因使用该信息而引起或与之相关的任何及所有责任。本文档中包含的某些信息（包括财务信息）来自已发布和未发布的来源。此类信息未经Galaxy独立核实，Galaxy不对其准确性承担任何责任。</w:t>
      </w:r>
    </w:p>
    <w:p>
      <w:pPr>
        <w:pStyle w:val="信息来源"/>
        <w:spacing w:before="50" w:after="100" w:line="240" w:lineRule="auto"/>
        <w:ind w:left="0" w:right="0" w:firstLine="0"/>
        <w:jc w:val="right"/>
      </w:pPr>
      <w:r>
        <w:rPr>
          <w:rFonts w:ascii="Times New Roman" w:hAnsi="Times New Roman" w:cs="Times New Roman" w:eastAsia="仿宋"/>
          <w:b w:val="0"/>
          <w:sz w:val="21"/>
        </w:rPr>
        <w:t>（信息来源：Galaxy Research）</w:t>
      </w:r>
    </w:p>
    <w:p>
      <w:pPr>
        <w:pStyle w:val="原文信息"/>
        <w:spacing w:before="0" w:after="0" w:line="240" w:lineRule="auto"/>
        <w:ind w:left="0" w:right="0" w:firstLine="0"/>
        <w:jc w:val="left"/>
      </w:pPr>
      <w:r>
        <w:rPr>
          <w:rFonts w:ascii="Times New Roman" w:hAnsi="Times New Roman" w:cs="Times New Roman" w:eastAsia="仿宋"/>
          <w:b w:val="0"/>
          <w:sz w:val="18"/>
        </w:rPr>
        <w:t>原文标题：Research â¢ January 24， 2024 2024 Institutional Crypto Hedge Fund &amp; Venture Report Funds Markets &amp; Macro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原文链接：https://assets.ctfassets.net/h62aj7eo1csj/7uisK9OoSR9Zp3cV4Q2uyS/992a6e48b383d0dde6eb4570df3e811f/GLXY_2024_Whitepaper_VisionTrack-2024InstitutionalCrypto_final.pdf</w:t>
      </w:r>
    </w:p>
    <w:p>
      <w:pPr>
        <w:pStyle w:val="原文信息"/>
        <w:spacing w:before="0" w:after="0" w:line="240" w:lineRule="auto"/>
        <w:ind w:left="0" w:right="0" w:firstLine="0"/>
        <w:jc w:val="left"/>
      </w:pPr>
      <w:r>
        <w:rPr>
          <w:rFonts w:ascii="Times New Roman" w:hAnsi="Times New Roman" w:cs="Times New Roman" w:eastAsia="仿宋"/>
          <w:b w:val="0"/>
          <w:sz w:val="18"/>
        </w:rPr>
        <w:t>PDF文件：reports/2026/research_sources/20260604/Galaxy_Research_Research_January_24_2024_2024_Institutional_Crypto_Hedge_Fund_Venture_Report_Funds_Markets_Macro_ee2b1bc5.pdf</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专题研究_20260604</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