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Coinbase冻结与东南亚加密诈骗网络相关的300万美元</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以太坊目标价3500美元Glamsterdam升级瞄准Q3</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Coinbase冻结与东南亚加密诈骗网络相关的300万美元</w:t>
      </w:r>
    </w:p>
    <w:p>
      <w:pPr>
        <w:spacing w:before="0" w:after="0" w:line="240" w:lineRule="auto"/>
        <w:ind w:left="0" w:right="0" w:firstLine="0"/>
        <w:jc w:val="both"/>
      </w:pPr>
      <w:r>
        <w:rPr>
          <w:rFonts w:ascii="Times New Roman" w:hAnsi="Times New Roman" w:cs="Times New Roman" w:eastAsia="仿宋"/>
          <w:b w:val="0"/>
          <w:sz w:val="28"/>
        </w:rPr>
        <w:t>· Coinbase冻结了与东南亚加密货币诈骗网络相关的300万美元加密货币。</w:t>
      </w:r>
    </w:p>
    <w:p>
      <w:pPr>
        <w:spacing w:before="0" w:after="0" w:line="240" w:lineRule="auto"/>
        <w:ind w:left="0" w:right="0" w:firstLine="0"/>
        <w:jc w:val="both"/>
      </w:pPr>
      <w:r>
        <w:rPr>
          <w:rFonts w:ascii="Times New Roman" w:hAnsi="Times New Roman" w:cs="Times New Roman" w:eastAsia="仿宋"/>
          <w:b w:val="0"/>
          <w:sz w:val="28"/>
        </w:rPr>
        <w:t>· 该行动是美国司法部诈骗中心打击部队领导的“打击周”的一部分，联合了Meta、微软和Starlink。</w:t>
      </w:r>
    </w:p>
    <w:p>
      <w:pPr>
        <w:spacing w:before="0" w:after="0" w:line="240" w:lineRule="auto"/>
        <w:ind w:left="0" w:right="0" w:firstLine="0"/>
        <w:jc w:val="both"/>
      </w:pPr>
      <w:r>
        <w:rPr>
          <w:rFonts w:ascii="Times New Roman" w:hAnsi="Times New Roman" w:cs="Times New Roman" w:eastAsia="仿宋"/>
          <w:b w:val="0"/>
          <w:sz w:val="28"/>
        </w:rPr>
        <w:t>· FBI报告称，2025年美国人在加密货币和AI相关诈骗中损失超过110亿美元。</w:t>
      </w:r>
    </w:p>
    <w:p>
      <w:pPr>
        <w:pStyle w:val="正文内容"/>
        <w:spacing w:before="0" w:after="0" w:line="240" w:lineRule="auto"/>
        <w:ind w:left="0" w:right="0" w:firstLine="560"/>
        <w:jc w:val="both"/>
      </w:pPr>
      <w:r>
        <w:rPr>
          <w:rFonts w:ascii="Times New Roman" w:hAnsi="Times New Roman" w:cs="Times New Roman" w:eastAsia="仿宋"/>
          <w:b w:val="0"/>
          <w:sz w:val="28"/>
        </w:rPr>
        <w:t>加密货币交易所Coinbase表示，作为针对东南亚加密货币诈骗网络的全球行动的一部分，已冻结超过300万美元的加密货币。</w:t>
      </w:r>
    </w:p>
    <w:p>
      <w:pPr>
        <w:pStyle w:val="正文内容"/>
        <w:spacing w:before="0" w:after="0" w:line="240" w:lineRule="auto"/>
        <w:ind w:left="0" w:right="0" w:firstLine="560"/>
        <w:jc w:val="both"/>
      </w:pPr>
      <w:r>
        <w:rPr>
          <w:rFonts w:ascii="Times New Roman" w:hAnsi="Times New Roman" w:cs="Times New Roman" w:eastAsia="仿宋"/>
          <w:b w:val="0"/>
          <w:sz w:val="28"/>
        </w:rPr>
        <w:t>今年，全球当局一直在大力打击诈骗基础设施，涉及美国、阿联酋、中国、奥地利和阿尔巴尼亚的联合行动。加密货币交易所Coinbase表示，作为针对东南亚网络加密货币诈骗网络的全球行动的一部分，已冻结超过300万美元的加密货币。</w:t>
      </w:r>
    </w:p>
    <w:p>
      <w:pPr>
        <w:pStyle w:val="正文内容"/>
        <w:spacing w:before="0" w:after="0" w:line="240" w:lineRule="auto"/>
        <w:ind w:left="0" w:right="0" w:firstLine="560"/>
        <w:jc w:val="both"/>
      </w:pPr>
      <w:r>
        <w:rPr>
          <w:rFonts w:ascii="Times New Roman" w:hAnsi="Times New Roman" w:cs="Times New Roman" w:eastAsia="仿宋"/>
          <w:b w:val="0"/>
          <w:sz w:val="28"/>
        </w:rPr>
        <w:t>该行动是美国司法部诈骗中心打击部队领导的“打击周”的一部分，该部队汇集了政府实体和私营企业，以打击针对美国人的加密货币诈骗。</w:t>
      </w:r>
    </w:p>
    <w:p>
      <w:pPr>
        <w:pStyle w:val="正文内容"/>
        <w:spacing w:before="0" w:after="0" w:line="240" w:lineRule="auto"/>
        <w:ind w:left="0" w:right="0" w:firstLine="560"/>
        <w:jc w:val="both"/>
      </w:pPr>
      <w:r>
        <w:rPr>
          <w:rFonts w:ascii="Times New Roman" w:hAnsi="Times New Roman" w:cs="Times New Roman" w:eastAsia="仿宋"/>
          <w:b w:val="0"/>
          <w:sz w:val="28"/>
        </w:rPr>
        <w:t>Coinbase表示：“这次行动证明，没有任何一家公司或机构可以单独阻止诈骗者。需要社交平台、金融机构、连接提供商和执法部门紧密合作，同时打击这些网络的几乎每个环节——在线账户、资金流动和物理基础设施。”</w:t>
      </w:r>
    </w:p>
    <w:p>
      <w:pPr>
        <w:pStyle w:val="正文内容"/>
        <w:spacing w:before="0" w:after="0" w:line="240" w:lineRule="auto"/>
        <w:ind w:left="0" w:right="0" w:firstLine="560"/>
        <w:jc w:val="both"/>
      </w:pPr>
      <w:r>
        <w:rPr>
          <w:rFonts w:ascii="Times New Roman" w:hAnsi="Times New Roman" w:cs="Times New Roman" w:eastAsia="仿宋"/>
          <w:b w:val="0"/>
          <w:sz w:val="28"/>
        </w:rPr>
        <w:t>Meta、微软和Starlink也参与了此次行动，它们共同关闭了与诈骗网络相关的服务器和其他托管基础设施，并破坏了超过140万个社交媒体和电子邮件账户的犯罪活动，泰国皇家警察反网络诈骗中心逮捕了多人。</w:t>
      </w:r>
    </w:p>
    <w:p>
      <w:pPr>
        <w:pStyle w:val="正文内容"/>
        <w:spacing w:before="0" w:after="0" w:line="240" w:lineRule="auto"/>
        <w:ind w:left="0" w:right="0" w:firstLine="560"/>
        <w:jc w:val="both"/>
      </w:pPr>
      <w:r>
        <w:rPr>
          <w:rFonts w:ascii="Times New Roman" w:hAnsi="Times New Roman" w:cs="Times New Roman" w:eastAsia="仿宋"/>
          <w:b w:val="0"/>
          <w:sz w:val="28"/>
        </w:rPr>
        <w:t>美国司法部表示，投资欺诈和杀猪盘是增长最快、对美国人造成最严重经济破坏的诈骗形式之一。本月早些时候，FBI报告称，2025年美国人在加密货币和AI相关诈骗中的损失超过110亿美元，其中投资诈骗造成的损失最大。</w:t>
      </w:r>
    </w:p>
    <w:p>
      <w:pPr>
        <w:pStyle w:val="正文内容"/>
        <w:spacing w:before="0" w:after="0" w:line="240" w:lineRule="auto"/>
        <w:ind w:left="0" w:right="0" w:firstLine="560"/>
        <w:jc w:val="both"/>
      </w:pPr>
      <w:r>
        <w:rPr>
          <w:rFonts w:ascii="Times New Roman" w:hAnsi="Times New Roman" w:cs="Times New Roman" w:eastAsia="仿宋"/>
          <w:b w:val="0"/>
          <w:sz w:val="28"/>
        </w:rPr>
        <w:t>Coinbase补充道：“我们知道加密货币在非法金融方面有时会受到不公平的声誉。事实恰恰相反。区块链技术为执法部门提供了传统金融系统通常无法提供的东西：每笔交易的透明、不可篡改和永久记录。”</w:t>
      </w:r>
    </w:p>
    <w:p>
      <w:pPr>
        <w:pStyle w:val="正文内容"/>
        <w:spacing w:before="0" w:after="0" w:line="240" w:lineRule="auto"/>
        <w:ind w:left="0" w:right="0" w:firstLine="560"/>
        <w:jc w:val="both"/>
      </w:pPr>
      <w:r>
        <w:rPr>
          <w:rFonts w:ascii="Times New Roman" w:hAnsi="Times New Roman" w:cs="Times New Roman" w:eastAsia="仿宋"/>
          <w:b w:val="0"/>
          <w:sz w:val="28"/>
        </w:rPr>
        <w:t>该联盟的其他成员包括FBI、美国特勤局以及英国、澳大利亚、加拿大、新西兰和泰国的执法合作伙伴。</w:t>
      </w:r>
    </w:p>
    <w:p>
      <w:pPr>
        <w:pStyle w:val="正文内容"/>
        <w:spacing w:before="0" w:after="0" w:line="240" w:lineRule="auto"/>
        <w:ind w:left="0" w:right="0" w:firstLine="560"/>
        <w:jc w:val="both"/>
      </w:pPr>
      <w:r>
        <w:rPr>
          <w:rFonts w:ascii="Times New Roman" w:hAnsi="Times New Roman" w:cs="Times New Roman" w:eastAsia="仿宋"/>
          <w:b w:val="0"/>
          <w:sz w:val="28"/>
        </w:rPr>
        <w:t>Meta表示，它分享了所有参与方的“可操作洞察”，这有助于“整合不同平台上的零散信息。这些科技公司的集体努力使行动能够锁定并破坏诈骗者几乎每个环节的犯罪活动。”</w:t>
      </w:r>
    </w:p>
    <w:p>
      <w:pPr>
        <w:pStyle w:val="正文内容"/>
        <w:spacing w:before="0" w:after="0" w:line="240" w:lineRule="auto"/>
        <w:ind w:left="0" w:right="0" w:firstLine="560"/>
        <w:jc w:val="both"/>
      </w:pPr>
      <w:r>
        <w:rPr>
          <w:rFonts w:ascii="Times New Roman" w:hAnsi="Times New Roman" w:cs="Times New Roman" w:eastAsia="仿宋"/>
          <w:b w:val="0"/>
          <w:sz w:val="28"/>
        </w:rPr>
        <w:t>今年，全球当局一直在大力打击诈骗基础设施。4月，美国诈骗中心打击部队及其执法合作伙伴针对诈骗中心，冻结了超过7.01亿美元与投资诈骗相关的加密货币。与此同时，迪拜警方牵头对诈骗团伙进行国际打击，逮捕了276人，并关闭了至少9个加密货币诈骗中心。在另一次涉及奥地利和阿尔巴尼亚当局、并得到欧洲刑警组织和欧洲司法组织支持的警方行动中，10人因与阿尔巴尼亚地拉那的三个诈骗中心有关而被捕。</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原文标题：Coinbase freezes $3M tied to Southeast Asia crypto fraud networks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原文链接：https://cointelegraph.com/news/tech-fbi-crypto-scam-crackdown-southeast-asia</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以太坊目标价3500美元Glamsterdam升级瞄准Q3</w:t>
      </w:r>
    </w:p>
    <w:p>
      <w:pPr>
        <w:spacing w:before="0" w:after="0" w:line="240" w:lineRule="auto"/>
        <w:ind w:left="0" w:right="0" w:firstLine="0"/>
        <w:jc w:val="both"/>
      </w:pPr>
      <w:r>
        <w:rPr>
          <w:rFonts w:ascii="Times New Roman" w:hAnsi="Times New Roman" w:cs="Times New Roman" w:eastAsia="仿宋"/>
          <w:b w:val="0"/>
          <w:sz w:val="28"/>
        </w:rPr>
        <w:t>· 以太坊在2025年完成了Pectra和Fusaka两次硬分叉，确立了每半年一次的升级节奏，共部署11个EIP，并将验证者质押上限提高至2048 ETH。</w:t>
      </w:r>
    </w:p>
    <w:p>
      <w:pPr>
        <w:spacing w:before="0" w:after="0" w:line="240" w:lineRule="auto"/>
        <w:ind w:left="0" w:right="0" w:firstLine="0"/>
        <w:jc w:val="both"/>
      </w:pPr>
      <w:r>
        <w:rPr>
          <w:rFonts w:ascii="Times New Roman" w:hAnsi="Times New Roman" w:cs="Times New Roman" w:eastAsia="仿宋"/>
          <w:b w:val="0"/>
          <w:sz w:val="28"/>
        </w:rPr>
        <w:t>· 预计2026年Q2或Q3的Glamsterdam升级将引入Verkle树以实现无状态客户端，并将Layer 2的可持续吞吐量推至每秒10万笔以上。</w:t>
      </w:r>
    </w:p>
    <w:p>
      <w:pPr>
        <w:spacing w:before="0" w:after="0" w:line="240" w:lineRule="auto"/>
        <w:ind w:left="0" w:right="0" w:firstLine="0"/>
        <w:jc w:val="both"/>
      </w:pPr>
      <w:r>
        <w:rPr>
          <w:rFonts w:ascii="Times New Roman" w:hAnsi="Times New Roman" w:cs="Times New Roman" w:eastAsia="仿宋"/>
          <w:b w:val="0"/>
          <w:sz w:val="28"/>
        </w:rPr>
        <w:t>· 截至2026年6月初，ETH交易价约1970美元，较2025年8月历史高点4951美元下跌超过60%，分析师预测复苏区间在2200至3500美元之间。</w:t>
      </w:r>
    </w:p>
    <w:p>
      <w:pPr>
        <w:pStyle w:val="正文内容"/>
        <w:spacing w:before="0" w:after="0" w:line="240" w:lineRule="auto"/>
        <w:ind w:left="0" w:right="0" w:firstLine="560"/>
        <w:jc w:val="both"/>
      </w:pPr>
      <w:r>
        <w:rPr>
          <w:rFonts w:ascii="Times New Roman" w:hAnsi="Times New Roman" w:cs="Times New Roman" w:eastAsia="仿宋"/>
          <w:b w:val="0"/>
          <w:sz w:val="28"/>
        </w:rPr>
        <w:t>以太坊的Glamsterdam升级目标为实现Layer 2每秒10万笔交易，同时ETH交易价接近1970美元，为2026年下半年奠定关键基础。</w:t>
      </w:r>
    </w:p>
    <w:p>
      <w:pPr>
        <w:pStyle w:val="正文内容"/>
        <w:spacing w:before="0" w:after="0" w:line="240" w:lineRule="auto"/>
        <w:ind w:left="0" w:right="0" w:firstLine="560"/>
        <w:jc w:val="both"/>
      </w:pPr>
      <w:r>
        <w:rPr>
          <w:rFonts w:ascii="Times New Roman" w:hAnsi="Times New Roman" w:cs="Times New Roman" w:eastAsia="仿宋"/>
          <w:b w:val="0"/>
          <w:sz w:val="28"/>
        </w:rPr>
        <w:t>以太坊基金会于2月发布了2026年协议优先事项，将开发工作重组为三大支柱：扩展、用户体验改进和L1抗量子安全加固。</w:t>
      </w:r>
    </w:p>
    <w:p>
      <w:pPr>
        <w:pStyle w:val="正文内容"/>
        <w:spacing w:before="0" w:after="0" w:line="240" w:lineRule="auto"/>
        <w:ind w:left="0" w:right="0" w:firstLine="560"/>
        <w:jc w:val="both"/>
      </w:pPr>
      <w:r>
        <w:rPr>
          <w:rFonts w:ascii="Times New Roman" w:hAnsi="Times New Roman" w:cs="Times New Roman" w:eastAsia="仿宋"/>
          <w:b w:val="0"/>
          <w:sz w:val="28"/>
        </w:rPr>
        <w:t>Pectra升级于2025年5月7日启动，合并了Prague执行层和Electra共识层，共部署11个以太坊改进提案。据Consensys称，这是以太坊历史上最大的硬分叉。EIP-7251将验证者最大有效余额从32 ETH提高至2，048 ETH，整合了验证者集并减少了点对点网络压力。EIP-7702引入了账户抽象原语，允许外部拥有账户在单笔交易中委托智能合约逻辑。</w:t>
      </w:r>
    </w:p>
    <w:p>
      <w:pPr>
        <w:pStyle w:val="正文内容"/>
        <w:spacing w:before="0" w:after="0" w:line="240" w:lineRule="auto"/>
        <w:ind w:left="0" w:right="0" w:firstLine="560"/>
        <w:jc w:val="both"/>
      </w:pPr>
      <w:r>
        <w:rPr>
          <w:rFonts w:ascii="Times New Roman" w:hAnsi="Times New Roman" w:cs="Times New Roman" w:eastAsia="仿宋"/>
          <w:b w:val="0"/>
          <w:sz w:val="28"/>
        </w:rPr>
        <w:t>Fusaka于2025年12月跟进，提供了额外的数据可用性改进，增加了Rollup的blob吞吐量。这两次分叉将以太坊从每年一次升级转变为结构化的半年发布周期。</w:t>
      </w:r>
    </w:p>
    <w:p>
      <w:pPr>
        <w:pStyle w:val="正文内容"/>
        <w:spacing w:before="0" w:after="0" w:line="240" w:lineRule="auto"/>
        <w:ind w:left="0" w:right="0" w:firstLine="560"/>
        <w:jc w:val="both"/>
      </w:pPr>
      <w:r>
        <w:rPr>
          <w:rFonts w:ascii="Times New Roman" w:hAnsi="Times New Roman" w:cs="Times New Roman" w:eastAsia="仿宋"/>
          <w:b w:val="0"/>
          <w:sz w:val="28"/>
        </w:rPr>
        <w:t>下一个里程碑是Glamsterdam升级，它结合了Glam共识层和Amsterdam执行层的变更。根据Trent Bolar在Medium上的分析，核心计划功能包括完整的Verkle树实现，这将支持无状态客户端并大幅降低运行节点的硬件要求。Bolar写道：“Glamsterdam预计将是‘The Surge’阶段完成前的最后重大步骤，在保持完全去中心化的同时，将Layer 2生态系统的可持续吞吐量推至每秒10万笔以上。”</w:t>
      </w:r>
    </w:p>
    <w:p>
      <w:pPr>
        <w:pStyle w:val="正文内容"/>
        <w:spacing w:before="0" w:after="0" w:line="240" w:lineRule="auto"/>
        <w:ind w:left="0" w:right="0" w:firstLine="560"/>
        <w:jc w:val="both"/>
      </w:pPr>
      <w:r>
        <w:rPr>
          <w:rFonts w:ascii="Times New Roman" w:hAnsi="Times New Roman" w:cs="Times New Roman" w:eastAsia="仿宋"/>
          <w:b w:val="0"/>
          <w:sz w:val="28"/>
        </w:rPr>
        <w:t>2026年的第二次分叉代号为Heze-Bogota，计划于年底进行。根据MEXC News报道，它将针对反审查机制和早期量子安全准备。2026年2月的协议优先事项文件概述了EIP-7701和EIP-8141等提案，用于原生账户抽象，建立在Pectra中EIP-7702的基础上。</w:t>
      </w:r>
    </w:p>
    <w:p>
      <w:pPr>
        <w:pStyle w:val="正文内容"/>
        <w:spacing w:before="0" w:after="0" w:line="240" w:lineRule="auto"/>
        <w:ind w:left="0" w:right="0" w:firstLine="560"/>
        <w:jc w:val="both"/>
      </w:pPr>
      <w:r>
        <w:rPr>
          <w:rFonts w:ascii="Times New Roman" w:hAnsi="Times New Roman" w:cs="Times New Roman" w:eastAsia="仿宋"/>
          <w:b w:val="0"/>
          <w:sz w:val="28"/>
        </w:rPr>
        <w:t>与2024年3月启动EIP-4844和proto-danksharding以降低Layer 2成本的Dencun升级相比，Glamsterdam代表了一次质的飞跃。Dencun增加了临时blob存储，而Glamsterdam旨在通过Verkle证明使全节点对交易验证变为可选，这是一项以太坊管理状态方式的结构性变化。</w:t>
      </w:r>
    </w:p>
    <w:p>
      <w:pPr>
        <w:pStyle w:val="正文内容"/>
        <w:spacing w:before="0" w:after="0" w:line="240" w:lineRule="auto"/>
        <w:ind w:left="0" w:right="0" w:firstLine="560"/>
        <w:jc w:val="both"/>
      </w:pPr>
      <w:r>
        <w:rPr>
          <w:rFonts w:ascii="Times New Roman" w:hAnsi="Times New Roman" w:cs="Times New Roman" w:eastAsia="仿宋"/>
          <w:b w:val="0"/>
          <w:sz w:val="28"/>
        </w:rPr>
        <w:t>根据CoinDCX数据，截至2026年6月1日，ETH交易价接近1970美元。14日RSI为33.56，接近超卖区域。50日移动平均线为2194美元，200日移动平均线为2509美元，当前价格远低于这两条趋势线。InvestingHaven公司表示，2026年交易区间预计在1800至3500美元之间，平均预测接近2700美元。Changelly模型预计2026年12月更保守的上限为2582美元。LiteFinance提到，在Layer 2增长和机构需求推动的乐观情景下，ETH可能测试5301美元。</w:t>
      </w:r>
    </w:p>
    <w:p>
      <w:pPr>
        <w:pStyle w:val="正文内容"/>
        <w:spacing w:before="0" w:after="0" w:line="240" w:lineRule="auto"/>
        <w:ind w:left="0" w:right="0" w:firstLine="560"/>
        <w:jc w:val="both"/>
      </w:pPr>
      <w:r>
        <w:rPr>
          <w:rFonts w:ascii="Times New Roman" w:hAnsi="Times New Roman" w:cs="Times New Roman" w:eastAsia="仿宋"/>
          <w:b w:val="0"/>
          <w:sz w:val="28"/>
        </w:rPr>
        <w:t>CoinDCX报道称：“Coinpaper高级加密市场分析师Alex Thornton指出，大约74%的以太坊供应量目前处于盈利状态，30天已实现价格估计接近1980美元。”长期持有者供应量正在增加，这一模式与积累而非分配一致。</w:t>
      </w:r>
    </w:p>
    <w:p>
      <w:pPr>
        <w:pStyle w:val="正文内容"/>
        <w:spacing w:before="0" w:after="0" w:line="240" w:lineRule="auto"/>
        <w:ind w:left="0" w:right="0" w:firstLine="560"/>
        <w:jc w:val="both"/>
      </w:pPr>
      <w:r>
        <w:rPr>
          <w:rFonts w:ascii="Times New Roman" w:hAnsi="Times New Roman" w:cs="Times New Roman" w:eastAsia="仿宋"/>
          <w:b w:val="0"/>
          <w:sz w:val="28"/>
        </w:rPr>
        <w:t>据MEXC称，2026年2月初，ETH多头头寸发生了19亿美元的清仓连锁反应，压缩了杠杆头寸。因此，当前价格可能低估了宏观条件稳定后出现的需求。</w:t>
      </w:r>
    </w:p>
    <w:p>
      <w:pPr>
        <w:pStyle w:val="正文内容"/>
        <w:spacing w:before="0" w:after="0" w:line="240" w:lineRule="auto"/>
        <w:ind w:left="0" w:right="0" w:firstLine="560"/>
        <w:jc w:val="both"/>
      </w:pPr>
      <w:r>
        <w:rPr>
          <w:rFonts w:ascii="Times New Roman" w:hAnsi="Times New Roman" w:cs="Times New Roman" w:eastAsia="仿宋"/>
          <w:b w:val="0"/>
          <w:sz w:val="28"/>
        </w:rPr>
        <w:t>以太坊受益于2026年3月SEC和CFTC的联合框架，该框架将16种数字资产归类为商品。ETH与比特币一同归入CFTC监管，消除了2024至2025年初困扰该资产的剩余证券执法风险。2024年获批的现货ETH ETF现在在更清晰的管辖边界下运营，这应会降低发行人和托管人的合规成本。</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 Eyes $3，500 as Glamsterdam Upgrade Targets Q3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原文链接：https://financefeeds.com/ethereum-eyes-3500-as-glamsterdam-upgrade/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16:30 至 2026-06-04 16:30（北京时间，最近3天）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