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黑体"/>
          <w:b w:val="0"/>
          <w:color w:val="2F5496"/>
          <w:sz w:val="32"/>
        </w:rPr>
        <w:t>专题研究</w:t>
      </w:r>
    </w:p>
    <w:p>
      <w:pPr>
        <w:jc w:val="center"/>
      </w:pPr>
      <w:r>
        <w:rPr>
          <w:rFonts w:ascii="Times New Roman" w:hAnsi="Times New Roman" w:cs="Times New Roman" w:eastAsia="黑体"/>
          <w:b w:val="0"/>
          <w:sz w:val="30"/>
        </w:rPr>
        <w:t>国际区块链法律期刊第10卷：沙盒监管、代币化与跨境创新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香港金管局推出Project Ensemble沙盒，探索代币化资产与批发型央行数字货币（wCBDC）结算，已与法国央行联通实现跨境原子结算。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欧洲区块链沙盒为跨境监管对话提供框架，首轮20个用例与50余家监管机构参与，发布最佳实践报告，促进法律确定性。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· 塞浦路斯通过国家区块链战略和CySEC监管沙盒，推动DLT创新，正制定DLT法案以平衡创新与合规，成为欧洲区块链热点区域。</w:t>
      </w:r>
    </w:p>
    <w:p>
      <w:pPr>
        <w:sectPr>
          <w:pgSz w:w="12240" w:h="15840"/>
          <w:pgMar w:top="1440" w:right="1803" w:bottom="1440" w:left="1803" w:header="850" w:footer="992" w:gutter="0"/>
          <w:cols w:space="720"/>
          <w:docGrid w:type="lines" w:linePitch="312"/>
        </w:sectPr>
      </w:pP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2024年10月，《国际区块链法律期刊》（International Journal of Blockchain Law，IJBL）发布第10卷，聚焦区块链监管创新。本卷涵盖香港、欧洲、塞浦路斯等地的沙盒（Sandbox）实践，以及首次交易所发行（Initial Exchange Offering，IEO）、加密资产报告框架（Crypto-Asset Reporting Framework，CARF）和加密破产交易等议题。主编Dr. Matthias Artzt强调，沙盒倡议成为监管机构了解新技术的关键工具。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香港金融管理局（HKMA）于2024年8月28日推出Project Ensemble沙盒，旨在探索资产代币化（tokenisation）用例及代币化资产交易结算。该沙盒是Project Ensemble的核心组成部分，后者于2024年3月启动，旨在构建新型金融市场基础设施（Financial Market Infrastructure，FMI），通过批发型中央银行数字货币（wholesale central bank digital currency，wCBDC）实现代币化资金的无缝银行间结算。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沙盒设计支持代币化资产交易的全生命周期，涵盖代币化资产创建、交易、使用代币化商业银行存款进行支付结算，以及最终通过HKMA发行的wCBDC进行银行间结算。首轮实验聚焦四大主题：固定收益与投资基金（债券与基金）、流动性管理（回购与财资管理）、绿色与可持续金融（碳信用与电动汽车充电站）、贸易与供应链金融（供应链金融与贸易融资支付），同时包含跨境支付功能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2024年6月，HKMA与法国央行（Banque de France，BdF）签署谅解备忘录，推动wCBDC与代币化市场创新。沙盒启动时，HKMA总裁余伟文表示，沙盒已与法国央行的DL3S系统成功连接，试验证明通过连接系统可实现原子跨境结算（atomic cross-border settlement）。香港证券及期货事务监察委员会（Securities and Futures Commission，SFC）宣布将共同领导资产管理行业的代币化倡议，与HKMA合作提供监管指引。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Project Ensemble架构社区（Architecture Community）于2024年5月成立，成员包括银行、科技公司、监管机构（含SFC）和学术界，旨在制定行业标准以支持wCBDC、代币化资金和代币化资产的互操作性。社区银行已将其代币化存款平台接入沙盒，便于参与者试验银行间支付对支付（payment-versus-payment）与交付对支付（delivery-versus-payment）结算。HKMA还计划与国际清算银行创新中心香港中心及CBDC专家组合作，进一步推进沙盒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欧洲区块链沙盒（European Blockchain Sandbox）是欧盟委员会（European Commission，EC）倡议，旨在为区块链/分布式账本技术（Distributed Ledger Technology，DLT）创新者与监管机构之间建立泛欧跨境监管对话框架，以增强法律确定性并促进最佳实践。与经典监管沙盒不同，该沙盒不提供法律豁免，也不对用例进行“批准”，而是提供保密、非正式的对话环境，通常耗时较少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沙盒面向公共和私营部门广泛的区块链/DLT用例，尤其关注金融、可持续发展、健康、供应链、移动和能源等领域的跨部门监管问题。重要监管领域包括金融监管、数据保护（GDPR）、环境社会治理（ESG）法规、电子身份认证和信任服务（eIDAS）、网络安全、消费者保护、智能合约及反洗钱（AML）规则。首年（2023年）从近90份申请中选出20个用例，覆盖所有欧盟/欧洲经济区（EEA）地区和多个行业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首轮监管对话根据用例和监管领域采取不同方式：部分聚焦合规（如GDPR、反洗钱、金融监管），监管机构提供指导；部分探讨如何利用DLT支持高效合规与监督（如海关、电池护照、碳报告）；部分关注欧盟法规作为推动因素（如欧盟数字身份钱包、数据治理法案、加密资产市场法规MiCAR）。对话结果以最佳实践报告形式于2024年6月发布，但始终保持保密性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沙盒由Bird &amp; Bird律师事务所领导的联合体组织，学术专家小组负责年度用例遴选和“最具创新监管机构”奖评选。遴选标准包括基本资格、业务成熟度、法律/监管相关性、对欧盟政策优先事项的贡献，并按“微型”、“小型”、“其他”和“公共机构”分组。若候选评分相同，则优先考虑有监管支持的用例或确保EEA区域代表性，以及技术新颖性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参与沙盒的优势：用例所有者获得专业法律与监管建议，与多国及欧盟监管机构进行建设性对话，扩展网络且无需费用；监管机构可跨边界讨论具体监管问题，增进对前沿技术的了解，有机会被评为创新监管者，并为最佳实践报告做出贡献。首轮反馈非常积极，几乎所有监管机构都希望继续参与后续轮次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塞浦路斯正积极成为区块链创新热点。2018年加入欧洲区块链伙伴关系，并与六个南欧国家签署DLT联合声明。2019年通过国家区块链战略，为公共和私营部门利用区块链推动创新、经济增长和透明度奠定基础。作为战略一部分，塞浦路斯证券交易委员会（Cyprus Securities and Exchange Commission，CySEC）推出创新中心，并于2024年6月启动监管沙盒。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疫情期间，塞浦路斯政府启动多个项目，邀请科技和区块链社区开发基于DLT的解决方案，涵盖医疗、企业和公共治理领域。2021年9月，财政部就拟议的《DLT法案》（草案）公开征求意见，该法案旨在以技术中立方式平衡创新促进与消费者权利保护、反洗钱合规。法案仍在制定中，但标志着塞浦路斯成为DLT关键司法管辖区的第一步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塞浦路斯的支付和金融服务行业持续增长，加上对DLT的友好态度和快速发展的金融科技（FinTech）领域，使其成为区块链项目的热点司法管辖区之一。欧洲区块链观察论坛2020年将塞浦路斯列为欧洲区块链技术三大热点之一。文章作者Mikaela Kantor概述了塞浦路斯DLT监管历程、当前法律挑战及未来路径。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本卷还收录了马来西亚关于首次交易所发行（Initial Exchange Offering，IEO）的监管框架文章。作者Edmund Yong等指出，IEO是首次代币发行（ICO）的变体，通过数字资产交易所进行。马来西亚的监管正在发展，涵盖数字代币全生命周期及资产服务基础设施，并考虑符合伊斯兰教法（Shariah）合规。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奥地利Taxbit公司的Dr. Max Bernt分析了加密资产报告框架（Crypto-Asset Reporting Framework，CARF）及其对税务合规的影响。该框架由经合组织（OECD）制定，得到G20和60多个参与司法管辖区支持，旨在为加密资产税务申报建立标准化方法。CARF并非计算税负的工具，而是协助税务机关进行风险评估和识别高逃税风险案例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美国McDermott Will &amp; Emery律师事务所的Darren Azman等探讨了加密破产交易（crypto fire sales）现状。文章指出，加密资产重组需适应不断变化的法规、波动资产价值及独特交易复杂性，这种时间不确定性要求特别考虑以减轻潜在财务损失。作者提供了加密破产拍卖和交易的初步指南。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本卷以Clifford Chance与全球区块链商业理事会（GBBC）于2024年10月1日录制的播客为结尾，主题为“探索资产与基金的代币化”。此外，主编还预告了由他参与编辑的《国际人工智能法律手册》将于2024年11月出版。整体上，本卷展示了全球区块链法律与监管的最新动态，强调了沙盒等创新机制在促进合规与创新中的关键作用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从香港到欧洲，从塞浦路斯到马来西亚，监管机构正通过沙盒、创新中心和立法改革来应对区块链技术的跨境与无国界特性。这些努力旨在平衡创新激励与投资者保护、金融稳定及税收合规。随着加密资产市场规模扩大，国际协调如CARF和MiCAR将愈发重要。未来，区块链沙盒有望演变为生产级金融市场基础设施，支持真实世界的代币化交易。</w:t>
      </w:r>
    </w:p>
    <w:p>
      <w:pPr>
        <w:pStyle w:val="正文内容"/>
        <w:spacing w:before="0" w:after="0" w:line="240" w:lineRule="auto"/>
        <w:ind w:left="0" w:right="0" w:firstLine="560"/>
        <w:jc w:val="both"/>
      </w:pPr>
      <w:r>
        <w:rPr>
          <w:rFonts w:ascii="Times New Roman" w:hAnsi="Times New Roman" w:cs="Times New Roman" w:eastAsia="仿宋"/>
          <w:b w:val="0"/>
          <w:sz w:val="28"/>
        </w:rPr>
        <w:t>本专题研究稿基于《国际区块链法律期刊》第10卷编译，保留了报告的核心结构、主要发现与数据逻辑。编译过程中未添加原文未提及的信息，专业术语首次出现时注明中文、英文及缩写。核验说明：原文缺失发布日期，其他元数据与内容一致。建议读者查阅原始PDF以获取完整参考文献和脚注。</w:t>
      </w:r>
    </w:p>
    <w:p>
      <w:pPr>
        <w:pStyle w:val="信息来源"/>
        <w:spacing w:before="50" w:after="100" w:line="240" w:lineRule="auto"/>
        <w:ind w:left="0" w:right="0" w:firstLine="0"/>
        <w:jc w:val="right"/>
      </w:pPr>
      <w:r>
        <w:rPr>
          <w:rFonts w:ascii="Times New Roman" w:hAnsi="Times New Roman" w:cs="Times New Roman" w:eastAsia="仿宋"/>
          <w:b w:val="0"/>
          <w:sz w:val="21"/>
        </w:rPr>
        <w:t>（信息来源：TRM Labs Resources）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原文标题：TRM Labs Resources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原文链接：https://assets.ctfassets.net/so75yocayyva/3lwsDOoaPC9qARIuwobLRj/984ebb9d3ecfe58e7957675748ba199d/23.10.24_IJBL_V10_2024_final.pdf</w:t>
      </w:r>
    </w:p>
    <w:p>
      <w:pPr>
        <w:pStyle w:val="原文信息"/>
        <w:spacing w:before="0" w:after="0" w:line="240" w:lineRule="auto"/>
        <w:ind w:left="0" w:right="0" w:firstLine="0"/>
        <w:jc w:val="left"/>
      </w:pPr>
      <w:r>
        <w:rPr>
          <w:rFonts w:ascii="Times New Roman" w:hAnsi="Times New Roman" w:cs="Times New Roman" w:eastAsia="仿宋"/>
          <w:b w:val="0"/>
          <w:sz w:val="18"/>
        </w:rPr>
        <w:t>PDF文件：reports/2026/research_sources/20260604/TRM_Labs_Resources_TRM_Labs_Resources_474476ca.pdf</w:t>
      </w:r>
    </w:p>
    <w:sectPr w:rsidR="00FC693F" w:rsidRPr="0006063C" w:rsidSect="00034616">
      <w:pgSz w:w="12240" w:h="15840"/>
      <w:pgMar w:top="1440" w:right="1803" w:bottom="1440" w:left="1803" w:header="850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  <w:ind w:left="0" w:right="0" w:firstLine="0"/>
    </w:pPr>
    <w:rPr>
      <w:rFonts w:ascii="Times New Roman" w:hAnsi="Times New Roman" w:cs="Times New Roman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40" w:line="240" w:lineRule="auto"/>
      <w:ind w:left="0" w:right="0"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2F549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文章一级标题">
    <w:name w:val="文章一级标题"/>
    <w:pPr>
      <w:spacing w:before="0" w:after="0" w:line="240" w:lineRule="auto"/>
      <w:ind w:left="0" w:right="0" w:firstLine="0"/>
      <w:jc w:val="center"/>
    </w:pPr>
    <w:rPr>
      <w:rFonts w:ascii="Times New Roman" w:hAnsi="Times New Roman" w:cs="Times New Roman" w:eastAsia="黑体"/>
      <w:sz w:val="30"/>
    </w:rPr>
  </w:style>
  <w:style w:type="paragraph" w:customStyle="1" w:styleId="正文内容">
    <w:name w:val="正文内容"/>
    <w:basedOn w:val="Normal"/>
    <w:pPr>
      <w:spacing w:before="0" w:after="0" w:line="240" w:lineRule="auto"/>
      <w:ind w:left="0" w:right="0" w:firstLine="560"/>
      <w:jc w:val="both"/>
    </w:pPr>
    <w:rPr>
      <w:rFonts w:ascii="Times New Roman" w:hAnsi="Times New Roman" w:cs="Times New Roman" w:eastAsia="仿宋"/>
      <w:sz w:val="28"/>
    </w:rPr>
  </w:style>
  <w:style w:type="paragraph" w:customStyle="1" w:styleId="信息来源">
    <w:name w:val="信息来源"/>
    <w:basedOn w:val="Normal"/>
    <w:pPr>
      <w:spacing w:before="50" w:after="100" w:line="240" w:lineRule="auto"/>
      <w:ind w:left="0" w:right="0" w:firstLine="0"/>
      <w:jc w:val="right"/>
    </w:pPr>
    <w:rPr>
      <w:rFonts w:ascii="Times New Roman" w:hAnsi="Times New Roman" w:cs="Times New Roman" w:eastAsia="仿宋"/>
      <w:sz w:val="21"/>
    </w:rPr>
  </w:style>
  <w:style w:type="paragraph" w:customStyle="1" w:styleId="原文信息">
    <w:name w:val="原文信息"/>
    <w:basedOn w:val="Normal"/>
    <w:pPr>
      <w:spacing w:before="0" w:after="0" w:line="240" w:lineRule="auto"/>
      <w:ind w:left="0" w:right="0" w:firstLine="0"/>
      <w:jc w:val="left"/>
    </w:pPr>
    <w:rPr>
      <w:rFonts w:ascii="Times New Roman" w:hAnsi="Times New Roman" w:cs="Times New Roman" w:eastAsia="仿宋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专题研究_20260604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